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z w:val="24"/>
          <w:szCs w:val="24"/>
          <w:highlight w:val="yellow"/>
          <w:u w:val="single"/>
        </w:rPr>
      </w:pPr>
      <w:r w:rsidDel="00000000" w:rsidR="00000000" w:rsidRPr="00000000">
        <w:rPr>
          <w:rFonts w:ascii="Arial" w:cs="Arial" w:eastAsia="Arial" w:hAnsi="Arial"/>
          <w:b w:val="1"/>
          <w:color w:val="000000"/>
          <w:sz w:val="36"/>
          <w:szCs w:val="36"/>
          <w:rtl w:val="0"/>
        </w:rPr>
        <w:t xml:space="preserve">Joint Schedule 7 (Financial Difficulties)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985"/>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w:t>
      </w:r>
      <w:r w:rsidDel="00000000" w:rsidR="00000000" w:rsidRPr="00000000">
        <w:rPr>
          <w:rFonts w:ascii="Arial" w:cs="Arial" w:eastAsia="Arial" w:hAnsi="Arial"/>
          <w:sz w:val="24"/>
          <w:szCs w:val="24"/>
          <w:rtl w:val="0"/>
        </w:rPr>
        <w:t xml:space="preserve"> definitions shall apply:</w:t>
      </w:r>
      <w:r w:rsidDel="00000000" w:rsidR="00000000" w:rsidRPr="00000000">
        <w:rPr>
          <w:rtl w:val="0"/>
        </w:rPr>
      </w:r>
    </w:p>
    <w:p w:rsidR="00000000" w:rsidDel="00000000" w:rsidP="00000000" w:rsidRDefault="00000000" w:rsidRPr="00000000" w14:paraId="00000005">
      <w:pPr>
        <w:tabs>
          <w:tab w:val="left" w:leader="none" w:pos="1134"/>
        </w:tabs>
        <w:spacing w:after="120" w:before="120" w:lineRule="auto"/>
        <w:ind w:left="360" w:hanging="1004"/>
        <w:jc w:val="left"/>
        <w:rPr>
          <w:rFonts w:ascii="Arial" w:cs="Arial" w:eastAsia="Arial" w:hAnsi="Arial"/>
          <w:sz w:val="24"/>
          <w:szCs w:val="24"/>
        </w:rPr>
      </w:pPr>
      <w:r w:rsidDel="00000000" w:rsidR="00000000" w:rsidRPr="00000000">
        <w:rPr>
          <w:rtl w:val="0"/>
        </w:rPr>
      </w:r>
    </w:p>
    <w:tbl>
      <w:tblPr>
        <w:tblStyle w:val="Table1"/>
        <w:tblW w:w="8655.0" w:type="dxa"/>
        <w:jc w:val="left"/>
        <w:tblInd w:w="25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85"/>
        <w:gridCol w:w="5970"/>
        <w:tblGridChange w:id="0">
          <w:tblGrid>
            <w:gridCol w:w="2685"/>
            <w:gridCol w:w="5970"/>
          </w:tblGrid>
        </w:tblGridChange>
      </w:tblGrid>
      <w:tr>
        <w:trPr>
          <w:cantSplit w:val="0"/>
          <w:tblHeader w:val="0"/>
        </w:trPr>
        <w:tc>
          <w:tcPr/>
          <w:p w:rsidR="00000000" w:rsidDel="00000000" w:rsidP="00000000" w:rsidRDefault="00000000" w:rsidRPr="00000000" w14:paraId="00000006">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“Applicable Financial Indicators”</w:t>
            </w:r>
          </w:p>
        </w:tc>
        <w:tc>
          <w:tcPr/>
          <w:p w:rsidR="00000000" w:rsidDel="00000000" w:rsidP="00000000" w:rsidRDefault="00000000" w:rsidRPr="00000000" w14:paraId="00000007">
            <w:pPr>
              <w:keepNext w:val="1"/>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means the financial indicators from Paragraph </w:t>
            </w:r>
            <w:r w:rsidDel="00000000" w:rsidR="00000000" w:rsidRPr="00000000">
              <w:rPr>
                <w:rFonts w:ascii="Arial" w:cs="Arial" w:eastAsia="Arial" w:hAnsi="Arial"/>
                <w:smallCaps w:val="1"/>
                <w:sz w:val="24"/>
                <w:szCs w:val="24"/>
                <w:rtl w:val="0"/>
              </w:rPr>
              <w:t xml:space="preserve">5.1 </w:t>
            </w:r>
            <w:r w:rsidDel="00000000" w:rsidR="00000000" w:rsidRPr="00000000">
              <w:rPr>
                <w:rFonts w:ascii="Arial" w:cs="Arial" w:eastAsia="Arial" w:hAnsi="Arial"/>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“Board”</w:t>
            </w:r>
          </w:p>
        </w:tc>
        <w:tc>
          <w:tcPr/>
          <w:p w:rsidR="00000000" w:rsidDel="00000000" w:rsidP="00000000" w:rsidRDefault="00000000" w:rsidRPr="00000000" w14:paraId="00000009">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Supplier’s board of directors;</w:t>
            </w:r>
          </w:p>
        </w:tc>
      </w:tr>
      <w:tr>
        <w:trPr>
          <w:cantSplit w:val="0"/>
          <w:tblHeader w:val="0"/>
        </w:trPr>
        <w:tc>
          <w:tcPr/>
          <w:p w:rsidR="00000000" w:rsidDel="00000000" w:rsidP="00000000" w:rsidRDefault="00000000" w:rsidRPr="00000000" w14:paraId="0000000A">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“Board Confirmation”</w:t>
            </w:r>
          </w:p>
        </w:tc>
        <w:tc>
          <w:tcPr/>
          <w:p w:rsidR="00000000" w:rsidDel="00000000" w:rsidP="00000000" w:rsidRDefault="00000000" w:rsidRPr="00000000" w14:paraId="0000000B">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written confirmation from the Board in accordance with Paragraph 8 of this Schedule;</w:t>
            </w:r>
          </w:p>
        </w:tc>
      </w:tr>
      <w:tr>
        <w:trPr>
          <w:cantSplit w:val="0"/>
          <w:tblHeader w:val="0"/>
        </w:trPr>
        <w:tc>
          <w:tcPr/>
          <w:p w:rsidR="00000000" w:rsidDel="00000000" w:rsidP="00000000" w:rsidRDefault="00000000" w:rsidRPr="00000000" w14:paraId="0000000C">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“Bronze Contract”</w:t>
            </w:r>
          </w:p>
        </w:tc>
        <w:tc>
          <w:tcPr/>
          <w:p w:rsidR="00000000" w:rsidDel="00000000" w:rsidP="00000000" w:rsidRDefault="00000000" w:rsidRPr="00000000" w14:paraId="0000000D">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E">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“Cabinet Office Markets and Suppliers Team”</w:t>
            </w:r>
          </w:p>
        </w:tc>
        <w:tc>
          <w:tcPr/>
          <w:p w:rsidR="00000000" w:rsidDel="00000000" w:rsidP="00000000" w:rsidRDefault="00000000" w:rsidRPr="00000000" w14:paraId="0000000F">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“Credit Rating Threshold”</w:t>
            </w:r>
          </w:p>
        </w:tc>
        <w:tc>
          <w:tcPr/>
          <w:p w:rsidR="00000000" w:rsidDel="00000000" w:rsidP="00000000" w:rsidRDefault="00000000" w:rsidRPr="00000000" w14:paraId="00000011">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“FDE Group”</w:t>
            </w:r>
          </w:p>
        </w:tc>
        <w:tc>
          <w:tcPr/>
          <w:p w:rsidR="00000000" w:rsidDel="00000000" w:rsidP="00000000" w:rsidRDefault="00000000" w:rsidRPr="00000000" w14:paraId="00000013">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[Supplier, Key Sub-contractors, [the Guarantor] and the [Monitored Suppliers]];</w:t>
            </w:r>
          </w:p>
        </w:tc>
      </w:tr>
      <w:tr>
        <w:trPr>
          <w:cantSplit w:val="0"/>
          <w:tblHeader w:val="0"/>
        </w:trPr>
        <w:tc>
          <w:tcPr/>
          <w:p w:rsidR="00000000" w:rsidDel="00000000" w:rsidP="00000000" w:rsidRDefault="00000000" w:rsidRPr="00000000" w14:paraId="00000014">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Distress Event”</w:t>
            </w:r>
          </w:p>
        </w:tc>
        <w:tc>
          <w:tcPr/>
          <w:p w:rsidR="00000000" w:rsidDel="00000000" w:rsidP="00000000" w:rsidRDefault="00000000" w:rsidRPr="00000000" w14:paraId="00000015">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Any of the events listed in Paragraph 3.1 of this Schedule;</w:t>
            </w:r>
          </w:p>
        </w:tc>
      </w:tr>
      <w:tr>
        <w:trPr>
          <w:cantSplit w:val="0"/>
          <w:tblHeader w:val="0"/>
        </w:trPr>
        <w:tc>
          <w:tcPr/>
          <w:p w:rsidR="00000000" w:rsidDel="00000000" w:rsidP="00000000" w:rsidRDefault="00000000" w:rsidRPr="00000000" w14:paraId="00000016">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Distress Remediation Plan”</w:t>
            </w:r>
          </w:p>
        </w:tc>
        <w:tc>
          <w:tcPr/>
          <w:p w:rsidR="00000000" w:rsidDel="00000000" w:rsidP="00000000" w:rsidRDefault="00000000" w:rsidRPr="00000000" w14:paraId="00000017">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Indicators”</w:t>
            </w:r>
          </w:p>
        </w:tc>
        <w:tc>
          <w:tcPr/>
          <w:p w:rsidR="00000000" w:rsidDel="00000000" w:rsidP="00000000" w:rsidRDefault="00000000" w:rsidRPr="00000000" w14:paraId="00000019">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 “Financial Target Thresholds”</w:t>
            </w:r>
          </w:p>
        </w:tc>
        <w:tc>
          <w:tcPr/>
          <w:p w:rsidR="00000000" w:rsidDel="00000000" w:rsidP="00000000" w:rsidRDefault="00000000" w:rsidRPr="00000000" w14:paraId="0000001B">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 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 “Monitored Suppliers”</w:t>
            </w:r>
          </w:p>
        </w:tc>
        <w:tc>
          <w:tcPr/>
          <w:p w:rsidR="00000000" w:rsidDel="00000000" w:rsidP="00000000" w:rsidRDefault="00000000" w:rsidRPr="00000000" w14:paraId="0000001D">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 means those entities specified at paragraph 5.2 of this Schedule;</w:t>
            </w:r>
          </w:p>
        </w:tc>
      </w:tr>
      <w:tr>
        <w:trPr>
          <w:cantSplit w:val="0"/>
          <w:tblHeader w:val="0"/>
        </w:trPr>
        <w:tc>
          <w:tcPr/>
          <w:p w:rsidR="00000000" w:rsidDel="00000000" w:rsidP="00000000" w:rsidRDefault="00000000" w:rsidRPr="00000000" w14:paraId="0000001E">
            <w:pPr>
              <w:tabs>
                <w:tab w:val="left" w:leader="none" w:pos="1134"/>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“Rating Agencies”</w:t>
            </w:r>
          </w:p>
        </w:tc>
        <w:tc>
          <w:tcPr/>
          <w:p w:rsidR="00000000" w:rsidDel="00000000" w:rsidP="00000000" w:rsidRDefault="00000000" w:rsidRPr="00000000" w14:paraId="0000001F">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 the rating agencies listed in Annex 1 of this Schedule;</w:t>
            </w:r>
          </w:p>
        </w:tc>
      </w:tr>
      <w:tr>
        <w:trPr>
          <w:cantSplit w:val="0"/>
          <w:tblHeader w:val="0"/>
        </w:trPr>
        <w:tc>
          <w:tcPr/>
          <w:p w:rsidR="00000000" w:rsidDel="00000000" w:rsidP="00000000" w:rsidRDefault="00000000" w:rsidRPr="00000000" w14:paraId="00000020">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“Strategic Supplier”</w:t>
            </w:r>
          </w:p>
        </w:tc>
        <w:tc>
          <w:tcPr/>
          <w:p w:rsidR="00000000" w:rsidDel="00000000" w:rsidP="00000000" w:rsidRDefault="00000000" w:rsidRPr="00000000" w14:paraId="00000021">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those suppliers to the government listed at </w:t>
            </w:r>
            <w:hyperlink r:id="rId7">
              <w:r w:rsidDel="00000000" w:rsidR="00000000" w:rsidRPr="00000000">
                <w:rPr>
                  <w:rFonts w:ascii="Arial" w:cs="Arial" w:eastAsia="Arial" w:hAnsi="Arial"/>
                  <w:sz w:val="24"/>
                  <w:szCs w:val="24"/>
                  <w:rtl w:val="0"/>
                </w:rPr>
                <w:t xml:space="preserve">https://www.gov.uk/government/publications/strategic-suppliers</w:t>
              </w:r>
            </w:hyperlink>
            <w:r w:rsidDel="00000000" w:rsidR="00000000" w:rsidRPr="00000000">
              <w:rPr>
                <w:rFonts w:ascii="Arial" w:cs="Arial" w:eastAsia="Arial" w:hAnsi="Arial"/>
                <w:sz w:val="24"/>
                <w:szCs w:val="24"/>
                <w:rtl w:val="0"/>
              </w:rPr>
              <w:t xml:space="preserve">.</w:t>
            </w:r>
          </w:p>
        </w:tc>
      </w:tr>
    </w:tbl>
    <w:p w:rsidR="00000000" w:rsidDel="00000000" w:rsidP="00000000" w:rsidRDefault="00000000" w:rsidRPr="00000000" w14:paraId="00000022">
      <w:pPr>
        <w:keepNext w:val="1"/>
        <w:tabs>
          <w:tab w:val="left" w:leader="none" w:pos="1985"/>
        </w:tabs>
        <w:spacing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sz w:val="24"/>
          <w:szCs w:val="24"/>
          <w:rtl w:val="0"/>
        </w:rPr>
        <w:t xml:space="preserve">arranties and duty to notify </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fob9te" w:id="0"/>
      <w:bookmarkEnd w:id="0"/>
      <w:r w:rsidDel="00000000" w:rsidR="00000000" w:rsidRPr="00000000">
        <w:rPr>
          <w:rFonts w:ascii="Arial" w:cs="Arial" w:eastAsia="Arial" w:hAnsi="Arial"/>
          <w:color w:val="000000"/>
          <w:sz w:val="24"/>
          <w:szCs w:val="24"/>
          <w:rtl w:val="0"/>
        </w:rPr>
        <w:t xml:space="preserve">The Supplier warrants and represents to </w:t>
      </w:r>
      <w:r w:rsidDel="00000000" w:rsidR="00000000" w:rsidRPr="00000000">
        <w:rPr>
          <w:rFonts w:ascii="Arial" w:cs="Arial" w:eastAsia="Arial" w:hAnsi="Arial"/>
          <w:sz w:val="24"/>
          <w:szCs w:val="24"/>
          <w:rtl w:val="0"/>
        </w:rPr>
        <w:t xml:space="preserve">the Relevant Authority for the benefit of the Relevant Authority </w:t>
      </w:r>
      <w:r w:rsidDel="00000000" w:rsidR="00000000" w:rsidRPr="00000000">
        <w:rPr>
          <w:rFonts w:ascii="Arial" w:cs="Arial" w:eastAsia="Arial" w:hAnsi="Arial"/>
          <w:color w:val="000000"/>
          <w:sz w:val="24"/>
          <w:szCs w:val="24"/>
          <w:rtl w:val="0"/>
        </w:rPr>
        <w:t xml:space="preserve"> that as at the </w:t>
      </w:r>
      <w:r w:rsidDel="00000000" w:rsidR="00000000" w:rsidRPr="00000000">
        <w:rPr>
          <w:rFonts w:ascii="Arial" w:cs="Arial" w:eastAsia="Arial" w:hAnsi="Arial"/>
          <w:sz w:val="24"/>
          <w:szCs w:val="24"/>
          <w:rtl w:val="0"/>
        </w:rPr>
        <w:t xml:space="preserve">Effective </w:t>
      </w:r>
      <w:r w:rsidDel="00000000" w:rsidR="00000000" w:rsidRPr="00000000">
        <w:rPr>
          <w:rFonts w:ascii="Arial" w:cs="Arial" w:eastAsia="Arial" w:hAnsi="Arial"/>
          <w:color w:val="000000"/>
          <w:sz w:val="24"/>
          <w:szCs w:val="24"/>
          <w:rtl w:val="0"/>
        </w:rPr>
        <w:t xml:space="preserve"> Date:</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134"/>
        </w:tabs>
        <w:spacing w:after="120" w:before="120" w:lineRule="auto"/>
        <w:ind w:left="2422" w:hanging="720"/>
        <w:jc w:val="left"/>
        <w:rPr>
          <w:rFonts w:ascii="Arial" w:cs="Arial" w:eastAsia="Arial" w:hAnsi="Arial"/>
          <w:color w:val="000000"/>
          <w:sz w:val="24"/>
          <w:szCs w:val="24"/>
        </w:rPr>
      </w:pPr>
      <w:bookmarkStart w:colFirst="0" w:colLast="0" w:name="_heading=h.ssx4vb3z9p3" w:id="1"/>
      <w:bookmarkEnd w:id="1"/>
      <w:r w:rsidDel="00000000" w:rsidR="00000000" w:rsidRPr="00000000">
        <w:rPr>
          <w:rFonts w:ascii="Arial" w:cs="Arial" w:eastAsia="Arial" w:hAnsi="Arial"/>
          <w:color w:val="000000"/>
          <w:sz w:val="24"/>
          <w:szCs w:val="24"/>
          <w:rtl w:val="0"/>
        </w:rPr>
        <w:t xml:space="preserve"> the long term credit ratings issued </w:t>
      </w:r>
      <w:r w:rsidDel="00000000" w:rsidR="00000000" w:rsidRPr="00000000">
        <w:rPr>
          <w:rFonts w:ascii="Arial" w:cs="Arial" w:eastAsia="Arial" w:hAnsi="Arial"/>
          <w:sz w:val="24"/>
          <w:szCs w:val="24"/>
          <w:rtl w:val="0"/>
        </w:rPr>
        <w:t xml:space="preserve">for each entity in the FDE Group</w:t>
      </w:r>
      <w:r w:rsidDel="00000000" w:rsidR="00000000" w:rsidRPr="00000000">
        <w:rPr>
          <w:rFonts w:ascii="Arial" w:cs="Arial" w:eastAsia="Arial" w:hAnsi="Arial"/>
          <w:color w:val="000000"/>
          <w:sz w:val="24"/>
          <w:szCs w:val="24"/>
          <w:rtl w:val="0"/>
        </w:rPr>
        <w:t xml:space="preserve">by each of the Rating Agencies are as set out in Annex 2 to this Schedule and;</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134"/>
        </w:tabs>
        <w:spacing w:after="120" w:before="120" w:lineRule="auto"/>
        <w:ind w:left="2422" w:hanging="720"/>
        <w:jc w:val="left"/>
        <w:rPr>
          <w:rFonts w:ascii="Arial" w:cs="Arial" w:eastAsia="Arial" w:hAnsi="Arial"/>
          <w:color w:val="000000"/>
          <w:sz w:val="24"/>
          <w:szCs w:val="24"/>
        </w:rPr>
      </w:pPr>
      <w:bookmarkStart w:colFirst="0" w:colLast="0" w:name="_heading=h.9t3vx6qttu3" w:id="2"/>
      <w:bookmarkEnd w:id="2"/>
      <w:r w:rsidDel="00000000" w:rsidR="00000000" w:rsidRPr="00000000">
        <w:rPr>
          <w:rFonts w:ascii="Arial" w:cs="Arial" w:eastAsia="Arial" w:hAnsi="Arial"/>
          <w:sz w:val="24"/>
          <w:szCs w:val="24"/>
          <w:rtl w:val="0"/>
        </w:rPr>
        <w:t xml:space="preserve">the financial position or, as appropriate, the financial performance of each Supplier, Guarantor and Key-Subcontractors satisfies the Financial Target Thresholds</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(or s</w:t>
      </w:r>
      <w:r w:rsidDel="00000000" w:rsidR="00000000" w:rsidRPr="00000000">
        <w:rPr>
          <w:rFonts w:ascii="Arial" w:cs="Arial" w:eastAsia="Arial" w:hAnsi="Arial"/>
          <w:sz w:val="24"/>
          <w:szCs w:val="24"/>
          <w:rtl w:val="0"/>
        </w:rPr>
        <w:t xml:space="preserve">hall procure that its auditors promptly notify)</w:t>
      </w:r>
      <w:r w:rsidDel="00000000" w:rsidR="00000000" w:rsidRPr="00000000">
        <w:rPr>
          <w:rFonts w:ascii="Arial" w:cs="Arial" w:eastAsia="Arial" w:hAnsi="Arial"/>
          <w:color w:val="000000"/>
          <w:sz w:val="24"/>
          <w:szCs w:val="24"/>
          <w:rtl w:val="0"/>
        </w:rPr>
        <w:t xml:space="preserve">  the Relevant Authority in writing if there is any downgrade in the credit rating issued by any Rating Agency for</w:t>
      </w:r>
      <w:r w:rsidDel="00000000" w:rsidR="00000000" w:rsidRPr="00000000">
        <w:rPr>
          <w:rFonts w:ascii="Arial" w:cs="Arial" w:eastAsia="Arial" w:hAnsi="Arial"/>
          <w:sz w:val="24"/>
          <w:szCs w:val="24"/>
          <w:rtl w:val="0"/>
        </w:rPr>
        <w:t xml:space="preserve"> any entity in the FDE Group (and in any event within five (5) Working Days of the occurrence of the downgrade).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w:t>
      </w:r>
      <w:r w:rsidDel="00000000" w:rsidR="00000000" w:rsidRPr="00000000">
        <w:rPr>
          <w:rFonts w:ascii="Arial" w:cs="Arial" w:eastAsia="Arial" w:hAnsi="Arial"/>
          <w:sz w:val="24"/>
          <w:szCs w:val="24"/>
          <w:rtl w:val="0"/>
        </w:rPr>
        <w:t xml:space="preserve">entity in the FDE Group </w:t>
      </w:r>
      <w:r w:rsidDel="00000000" w:rsidR="00000000" w:rsidRPr="00000000">
        <w:rPr>
          <w:rFonts w:ascii="Arial" w:cs="Arial" w:eastAsia="Arial" w:hAnsi="Arial"/>
          <w:color w:val="000000"/>
          <w:sz w:val="24"/>
          <w:szCs w:val="24"/>
          <w:rtl w:val="0"/>
        </w:rPr>
        <w:t xml:space="preserve">with the Rating Agencies;</w:t>
      </w:r>
    </w:p>
    <w:p w:rsidR="00000000" w:rsidDel="00000000" w:rsidP="00000000" w:rsidRDefault="00000000" w:rsidRPr="00000000" w14:paraId="0000002A">
      <w:pPr>
        <w:numPr>
          <w:ilvl w:val="2"/>
          <w:numId w:val="1"/>
        </w:numPr>
        <w:tabs>
          <w:tab w:val="left" w:leader="none" w:pos="1985"/>
        </w:tabs>
        <w:spacing w:after="120" w:before="120" w:lineRule="auto"/>
        <w:ind w:left="2422" w:hanging="720"/>
        <w:rPr/>
      </w:pPr>
      <w:r w:rsidDel="00000000" w:rsidR="00000000" w:rsidRPr="00000000">
        <w:rPr>
          <w:rFonts w:ascii="Arial" w:cs="Arial" w:eastAsia="Arial" w:hAnsi="Arial"/>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color w:val="000000"/>
          <w:sz w:val="24"/>
          <w:szCs w:val="24"/>
          <w:rtl w:val="0"/>
        </w:rPr>
        <w:t xml:space="preserve">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 3.1 and for the purposes of determining relief under Paragraph 7.1, the credit rating of</w:t>
      </w:r>
      <w:r w:rsidDel="00000000" w:rsidR="00000000" w:rsidRPr="00000000">
        <w:rPr>
          <w:rFonts w:ascii="Arial" w:cs="Arial" w:eastAsia="Arial" w:hAnsi="Arial"/>
          <w:sz w:val="24"/>
          <w:szCs w:val="24"/>
          <w:rtl w:val="0"/>
        </w:rPr>
        <w:t xml:space="preserve"> an FDE Group entity</w:t>
      </w:r>
      <w:r w:rsidDel="00000000" w:rsidR="00000000" w:rsidRPr="00000000">
        <w:rPr>
          <w:rFonts w:ascii="Arial" w:cs="Arial" w:eastAsia="Arial" w:hAnsi="Arial"/>
          <w:color w:val="000000"/>
          <w:sz w:val="24"/>
          <w:szCs w:val="24"/>
          <w:rtl w:val="0"/>
        </w:rPr>
        <w:t xml:space="preserve"> shall be deemed to have dropped below the applicable Credit Rating Threshold if any of the Rating Agencies have rated </w:t>
      </w:r>
      <w:r w:rsidDel="00000000" w:rsidR="00000000" w:rsidRPr="00000000">
        <w:rPr>
          <w:rFonts w:ascii="Arial" w:cs="Arial" w:eastAsia="Arial" w:hAnsi="Arial"/>
          <w:sz w:val="24"/>
          <w:szCs w:val="24"/>
          <w:rtl w:val="0"/>
        </w:rPr>
        <w:t xml:space="preserve">that entity</w:t>
      </w:r>
      <w:r w:rsidDel="00000000" w:rsidR="00000000" w:rsidRPr="00000000">
        <w:rPr>
          <w:rFonts w:ascii="Arial" w:cs="Arial" w:eastAsia="Arial" w:hAnsi="Arial"/>
          <w:color w:val="000000"/>
          <w:sz w:val="24"/>
          <w:szCs w:val="24"/>
          <w:rtl w:val="0"/>
        </w:rPr>
        <w:t xml:space="preserve"> at or below the applicable Credit Rating Threshold.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Financial </w:t>
      </w:r>
      <w:r w:rsidDel="00000000" w:rsidR="00000000" w:rsidRPr="00000000">
        <w:rPr>
          <w:rFonts w:ascii="Arial" w:cs="Arial" w:eastAsia="Arial" w:hAnsi="Arial"/>
          <w:b w:val="1"/>
          <w:sz w:val="24"/>
          <w:szCs w:val="24"/>
          <w:rtl w:val="0"/>
        </w:rPr>
        <w:t xml:space="preserve">D</w:t>
      </w:r>
      <w:r w:rsidDel="00000000" w:rsidR="00000000" w:rsidRPr="00000000">
        <w:rPr>
          <w:rFonts w:ascii="Arial" w:cs="Arial" w:eastAsia="Arial" w:hAnsi="Arial"/>
          <w:b w:val="1"/>
          <w:color w:val="000000"/>
          <w:sz w:val="24"/>
          <w:szCs w:val="24"/>
          <w:rtl w:val="0"/>
        </w:rPr>
        <w:t xml:space="preserve">istress events</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sz w:val="24"/>
          <w:szCs w:val="24"/>
          <w:rtl w:val="0"/>
        </w:rPr>
        <w:t xml:space="preserve">The following shall be Financial Distress Events:</w:t>
      </w:r>
      <w:r w:rsidDel="00000000" w:rsidR="00000000" w:rsidRPr="00000000">
        <w:rPr>
          <w:rtl w:val="0"/>
        </w:rPr>
      </w:r>
    </w:p>
    <w:p w:rsidR="00000000" w:rsidDel="00000000" w:rsidP="00000000" w:rsidRDefault="00000000" w:rsidRPr="00000000" w14:paraId="00000030">
      <w:pPr>
        <w:numPr>
          <w:ilvl w:val="2"/>
          <w:numId w:val="1"/>
        </w:numPr>
        <w:tabs>
          <w:tab w:val="left" w:leader="none" w:pos="1134"/>
        </w:tabs>
        <w:spacing w:after="120" w:before="120" w:lineRule="auto"/>
        <w:ind w:left="2422" w:hanging="720"/>
        <w:rPr/>
      </w:pPr>
      <w:bookmarkStart w:colFirst="0" w:colLast="0" w:name="_heading=h.64gb0r5da75l" w:id="4"/>
      <w:bookmarkEnd w:id="4"/>
      <w:r w:rsidDel="00000000" w:rsidR="00000000" w:rsidRPr="00000000">
        <w:rPr>
          <w:rFonts w:ascii="Arial" w:cs="Arial" w:eastAsia="Arial" w:hAnsi="Arial"/>
          <w:sz w:val="24"/>
          <w:szCs w:val="24"/>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1">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2">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3">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4">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35">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any of the following:</w:t>
      </w:r>
      <w:r w:rsidDel="00000000" w:rsidR="00000000" w:rsidRPr="00000000">
        <w:rPr>
          <w:rtl w:val="0"/>
        </w:rPr>
      </w:r>
    </w:p>
    <w:p w:rsidR="00000000" w:rsidDel="00000000" w:rsidP="00000000" w:rsidRDefault="00000000" w:rsidRPr="00000000" w14:paraId="00000036">
      <w:pPr>
        <w:tabs>
          <w:tab w:val="left" w:leader="none" w:pos="1134"/>
        </w:tabs>
        <w:spacing w:after="120" w:before="120" w:lineRule="auto"/>
        <w:ind w:left="2847" w:firstLine="0"/>
        <w:rPr>
          <w:rFonts w:ascii="Arial" w:cs="Arial" w:eastAsia="Arial" w:hAnsi="Arial"/>
          <w:sz w:val="24"/>
          <w:szCs w:val="24"/>
        </w:rPr>
      </w:pPr>
      <w:bookmarkStart w:colFirst="0" w:colLast="0" w:name="_heading=h.aacfhu5zy7ri" w:id="5"/>
      <w:bookmarkEnd w:id="5"/>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commencement of any litigation against an FDE Group entity with respect to financial indebtedness greater than £5m or obligations under a service contract with a total contract value greater than £5m;</w:t>
      </w:r>
    </w:p>
    <w:p w:rsidR="00000000" w:rsidDel="00000000" w:rsidP="00000000" w:rsidRDefault="00000000" w:rsidRPr="00000000" w14:paraId="00000037">
      <w:pPr>
        <w:tabs>
          <w:tab w:val="left" w:leader="none" w:pos="1134"/>
        </w:tabs>
        <w:spacing w:after="120" w:before="120" w:lineRule="auto"/>
        <w:ind w:left="2847" w:firstLine="0"/>
        <w:rPr>
          <w:rFonts w:ascii="Arial" w:cs="Arial" w:eastAsia="Arial" w:hAnsi="Arial"/>
          <w:sz w:val="24"/>
          <w:szCs w:val="24"/>
        </w:rPr>
      </w:pPr>
      <w:bookmarkStart w:colFirst="0" w:colLast="0" w:name="_heading=h.mbukjnsqfhpr" w:id="6"/>
      <w:bookmarkEnd w:id="6"/>
      <w:r w:rsidDel="00000000" w:rsidR="00000000" w:rsidRPr="00000000">
        <w:rPr>
          <w:rFonts w:ascii="Arial" w:cs="Arial" w:eastAsia="Arial" w:hAnsi="Arial"/>
          <w:sz w:val="24"/>
          <w:szCs w:val="24"/>
          <w:rtl w:val="0"/>
        </w:rPr>
        <w:t xml:space="preserve">(b)   non-payment by an FDE Group entity of any financial indebtedness;</w:t>
      </w:r>
    </w:p>
    <w:p w:rsidR="00000000" w:rsidDel="00000000" w:rsidP="00000000" w:rsidRDefault="00000000" w:rsidRPr="00000000" w14:paraId="00000038">
      <w:pPr>
        <w:tabs>
          <w:tab w:val="left" w:leader="none" w:pos="1134"/>
        </w:tabs>
        <w:spacing w:after="120" w:before="120" w:lineRule="auto"/>
        <w:ind w:left="2847" w:firstLine="0"/>
        <w:rPr>
          <w:rFonts w:ascii="Arial" w:cs="Arial" w:eastAsia="Arial" w:hAnsi="Arial"/>
          <w:sz w:val="24"/>
          <w:szCs w:val="24"/>
        </w:rPr>
      </w:pPr>
      <w:bookmarkStart w:colFirst="0" w:colLast="0" w:name="_heading=h.pndqgk21pgbt" w:id="7"/>
      <w:bookmarkEnd w:id="7"/>
      <w:r w:rsidDel="00000000" w:rsidR="00000000" w:rsidRPr="00000000">
        <w:rPr>
          <w:rFonts w:ascii="Arial" w:cs="Arial" w:eastAsia="Arial" w:hAnsi="Arial"/>
          <w:sz w:val="24"/>
          <w:szCs w:val="24"/>
          <w:rtl w:val="0"/>
        </w:rPr>
        <w:t xml:space="preserve">(c) any financial indebtedness of an FDE Group entity becoming due as a result of an event of default;</w:t>
      </w:r>
    </w:p>
    <w:p w:rsidR="00000000" w:rsidDel="00000000" w:rsidP="00000000" w:rsidRDefault="00000000" w:rsidRPr="00000000" w14:paraId="00000039">
      <w:pPr>
        <w:tabs>
          <w:tab w:val="left" w:leader="none" w:pos="1134"/>
        </w:tabs>
        <w:spacing w:after="120" w:before="120" w:lineRule="auto"/>
        <w:ind w:left="2847" w:firstLine="0"/>
        <w:rPr>
          <w:rFonts w:ascii="Arial" w:cs="Arial" w:eastAsia="Arial" w:hAnsi="Arial"/>
          <w:sz w:val="24"/>
          <w:szCs w:val="24"/>
        </w:rPr>
      </w:pPr>
      <w:bookmarkStart w:colFirst="0" w:colLast="0" w:name="_heading=h.l3ed2yd6v9x2" w:id="8"/>
      <w:bookmarkEnd w:id="8"/>
      <w:r w:rsidDel="00000000" w:rsidR="00000000" w:rsidRPr="00000000">
        <w:rPr>
          <w:rFonts w:ascii="Arial" w:cs="Arial" w:eastAsia="Arial" w:hAnsi="Arial"/>
          <w:sz w:val="24"/>
          <w:szCs w:val="24"/>
          <w:rtl w:val="0"/>
        </w:rPr>
        <w:t xml:space="preserve">(d) the cancellation or suspension of any financial indebtedness in respect of an FDE Group entity; or</w:t>
      </w:r>
    </w:p>
    <w:p w:rsidR="00000000" w:rsidDel="00000000" w:rsidP="00000000" w:rsidRDefault="00000000" w:rsidRPr="00000000" w14:paraId="0000003A">
      <w:pPr>
        <w:tabs>
          <w:tab w:val="left" w:leader="none" w:pos="1134"/>
        </w:tabs>
        <w:spacing w:after="120" w:before="120" w:lineRule="auto"/>
        <w:ind w:left="2847" w:firstLine="0"/>
        <w:rPr>
          <w:rFonts w:ascii="Arial" w:cs="Arial" w:eastAsia="Arial" w:hAnsi="Arial"/>
          <w:sz w:val="24"/>
          <w:szCs w:val="24"/>
        </w:rPr>
      </w:pPr>
      <w:bookmarkStart w:colFirst="0" w:colLast="0" w:name="_heading=h.kpejo84du8cq" w:id="9"/>
      <w:bookmarkEnd w:id="9"/>
      <w:r w:rsidDel="00000000" w:rsidR="00000000" w:rsidRPr="00000000">
        <w:rPr>
          <w:rFonts w:ascii="Arial" w:cs="Arial" w:eastAsia="Arial" w:hAnsi="Arial"/>
          <w:sz w:val="24"/>
          <w:szCs w:val="24"/>
          <w:rtl w:val="0"/>
        </w:rPr>
        <w:t xml:space="preserve">(e) 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B">
      <w:pPr>
        <w:tabs>
          <w:tab w:val="left" w:leader="none" w:pos="1134"/>
        </w:tabs>
        <w:spacing w:after="120" w:before="120" w:lineRule="auto"/>
        <w:ind w:left="242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C">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3D">
      <w:pPr>
        <w:tabs>
          <w:tab w:val="left" w:leader="none" w:pos="1134"/>
        </w:tabs>
        <w:spacing w:after="120" w:before="120" w:lineRule="auto"/>
        <w:ind w:left="2422" w:firstLine="0"/>
        <w:jc w:val="left"/>
        <w:rPr>
          <w:rFonts w:ascii="Arial" w:cs="Arial" w:eastAsia="Arial" w:hAnsi="Arial"/>
          <w:sz w:val="24"/>
          <w:szCs w:val="24"/>
        </w:rPr>
      </w:pPr>
      <w:bookmarkStart w:colFirst="0" w:colLast="0" w:name="_heading=h.u7uxme8tlae2" w:id="10"/>
      <w:bookmarkEnd w:id="10"/>
      <w:r w:rsidDel="00000000" w:rsidR="00000000" w:rsidRPr="00000000">
        <w:rPr>
          <w:rtl w:val="0"/>
        </w:rPr>
      </w:r>
    </w:p>
    <w:p w:rsidR="00000000" w:rsidDel="00000000" w:rsidP="00000000" w:rsidRDefault="00000000" w:rsidRPr="00000000" w14:paraId="0000003E">
      <w:pPr>
        <w:keepNext w:val="1"/>
        <w:numPr>
          <w:ilvl w:val="0"/>
          <w:numId w:val="1"/>
        </w:numPr>
        <w:tabs>
          <w:tab w:val="left" w:leader="none" w:pos="1134"/>
        </w:tabs>
        <w:spacing w:before="120" w:lineRule="auto"/>
        <w:ind w:left="360" w:hanging="360"/>
        <w:jc w:val="left"/>
        <w:rPr>
          <w:smallCaps w:val="1"/>
        </w:rPr>
      </w:pPr>
      <w:r w:rsidDel="00000000" w:rsidR="00000000" w:rsidRPr="00000000">
        <w:rPr>
          <w:rFonts w:ascii="Arial" w:cs="Arial" w:eastAsia="Arial" w:hAnsi="Arial"/>
          <w:b w:val="1"/>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5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 Financial Distress Event (or if</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color w:val="000000"/>
          <w:sz w:val="24"/>
          <w:szCs w:val="24"/>
          <w:rtl w:val="0"/>
        </w:rPr>
        <w:t xml:space="preserve"> becomes aware of</w:t>
      </w:r>
      <w:r w:rsidDel="00000000" w:rsidR="00000000" w:rsidRPr="00000000">
        <w:rPr>
          <w:rFonts w:ascii="Arial" w:cs="Arial" w:eastAsia="Arial" w:hAnsi="Arial"/>
          <w:sz w:val="24"/>
          <w:szCs w:val="24"/>
          <w:rtl w:val="0"/>
        </w:rPr>
        <w:t xml:space="preserve"> a</w:t>
      </w:r>
      <w:r w:rsidDel="00000000" w:rsidR="00000000" w:rsidRPr="00000000">
        <w:rPr>
          <w:rFonts w:ascii="Arial" w:cs="Arial" w:eastAsia="Arial" w:hAnsi="Arial"/>
          <w:color w:val="000000"/>
          <w:sz w:val="24"/>
          <w:szCs w:val="24"/>
          <w:rtl w:val="0"/>
        </w:rPr>
        <w:t xml:space="preserve"> Financial Distress Event without notification and brings the event to the attention of the Supplier), the Supplier shall have the obligations and</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color w:val="000000"/>
          <w:sz w:val="24"/>
          <w:szCs w:val="24"/>
          <w:rtl w:val="0"/>
        </w:rPr>
        <w:t xml:space="preserve"> shall have the rights and remedies as set out in Paragraphs 4.3 to 4.6.</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 the event of a late or non-payment of a Key Sub-contractor pursuant to Paragraph 3.1.5, the Relevant Authority </w:t>
      </w:r>
      <w:r w:rsidDel="00000000" w:rsidR="00000000" w:rsidRPr="00000000">
        <w:rPr>
          <w:rFonts w:ascii="Arial" w:cs="Arial" w:eastAsia="Arial" w:hAnsi="Arial"/>
          <w:color w:val="000000"/>
          <w:sz w:val="24"/>
          <w:szCs w:val="24"/>
          <w:rtl w:val="0"/>
        </w:rPr>
        <w:t xml:space="preserve">shall not exercise any of its rights or remedies under Paragraph 4.3 without first giving the Supplier ten (10) Working Days to:</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color w:val="000000"/>
          <w:sz w:val="24"/>
          <w:szCs w:val="24"/>
          <w:rtl w:val="0"/>
        </w:rPr>
        <w:t xml:space="preserve">'s reasonable satisfaction that there is a valid reason for late or non-payment.]</w:t>
      </w:r>
    </w:p>
    <w:p w:rsidR="00000000" w:rsidDel="00000000" w:rsidP="00000000" w:rsidRDefault="00000000" w:rsidRPr="00000000" w14:paraId="0000004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t3h5sf" w:id="11"/>
      <w:bookmarkEnd w:id="11"/>
      <w:r w:rsidDel="00000000" w:rsidR="00000000" w:rsidRPr="00000000">
        <w:rPr>
          <w:rFonts w:ascii="Arial" w:cs="Arial" w:eastAsia="Arial" w:hAnsi="Arial"/>
          <w:color w:val="000000"/>
          <w:sz w:val="24"/>
          <w:szCs w:val="24"/>
          <w:rtl w:val="0"/>
        </w:rPr>
        <w:t xml:space="preserve">The Supplier shall (and shall procure that </w:t>
      </w:r>
      <w:r w:rsidDel="00000000" w:rsidR="00000000" w:rsidRPr="00000000">
        <w:rPr>
          <w:rFonts w:ascii="Arial" w:cs="Arial" w:eastAsia="Arial" w:hAnsi="Arial"/>
          <w:sz w:val="24"/>
          <w:szCs w:val="24"/>
          <w:rtl w:val="0"/>
        </w:rPr>
        <w:t xml:space="preserve">any</w:t>
      </w:r>
      <w:r w:rsidDel="00000000" w:rsidR="00000000" w:rsidRPr="00000000">
        <w:rPr>
          <w:rFonts w:ascii="Arial" w:cs="Arial" w:eastAsia="Arial" w:hAnsi="Arial"/>
          <w:color w:val="000000"/>
          <w:sz w:val="24"/>
          <w:szCs w:val="24"/>
          <w:rtl w:val="0"/>
        </w:rPr>
        <w:t xml:space="preserve"> Monitored </w:t>
      </w:r>
      <w:r w:rsidDel="00000000" w:rsidR="00000000" w:rsidRPr="00000000">
        <w:rPr>
          <w:rFonts w:ascii="Arial" w:cs="Arial" w:eastAsia="Arial" w:hAnsi="Arial"/>
          <w:sz w:val="24"/>
          <w:szCs w:val="24"/>
          <w:rtl w:val="0"/>
        </w:rPr>
        <w:t xml:space="preserve">Supplier, the Guarantor and/or any relevant Key-Subcontractor</w:t>
      </w:r>
      <w:r w:rsidDel="00000000" w:rsidR="00000000" w:rsidRPr="00000000">
        <w:rPr>
          <w:rFonts w:ascii="Arial" w:cs="Arial" w:eastAsia="Arial" w:hAnsi="Arial"/>
          <w:color w:val="000000"/>
          <w:sz w:val="24"/>
          <w:szCs w:val="24"/>
          <w:rtl w:val="0"/>
        </w:rPr>
        <w:t xml:space="preserve">shall):</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4d34og8" w:id="12"/>
      <w:bookmarkEnd w:id="12"/>
      <w:r w:rsidDel="00000000" w:rsidR="00000000" w:rsidRPr="00000000">
        <w:rPr>
          <w:rFonts w:ascii="Arial" w:cs="Arial" w:eastAsia="Arial" w:hAnsi="Arial"/>
          <w:color w:val="000000"/>
          <w:sz w:val="24"/>
          <w:szCs w:val="24"/>
          <w:rtl w:val="0"/>
        </w:rPr>
        <w:t xml:space="preserve">at the request of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color w:val="000000"/>
          <w:sz w:val="24"/>
          <w:szCs w:val="24"/>
          <w:rtl w:val="0"/>
        </w:rPr>
        <w:t xml:space="preserve"> meet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color w:val="000000"/>
          <w:sz w:val="24"/>
          <w:szCs w:val="24"/>
          <w:rtl w:val="0"/>
        </w:rPr>
        <w:t xml:space="preserve"> as soon as reasonably practicable (and in any event within three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w:t>
      </w:r>
      <w:r w:rsidDel="00000000" w:rsidR="00000000" w:rsidRPr="00000000">
        <w:rPr>
          <w:rFonts w:ascii="Arial" w:cs="Arial" w:eastAsia="Arial" w:hAnsi="Arial"/>
          <w:sz w:val="24"/>
          <w:szCs w:val="24"/>
          <w:rtl w:val="0"/>
        </w:rPr>
        <w:t xml:space="preserve">Services </w:t>
      </w:r>
      <w:r w:rsidDel="00000000" w:rsidR="00000000" w:rsidRPr="00000000">
        <w:rPr>
          <w:rFonts w:ascii="Arial" w:cs="Arial" w:eastAsia="Arial" w:hAnsi="Arial"/>
          <w:color w:val="000000"/>
          <w:sz w:val="24"/>
          <w:szCs w:val="24"/>
          <w:rtl w:val="0"/>
        </w:rPr>
        <w:t xml:space="preserve">in accordance </w:t>
      </w:r>
      <w:r w:rsidDel="00000000" w:rsidR="00000000" w:rsidRPr="00000000">
        <w:rPr>
          <w:rFonts w:ascii="Arial" w:cs="Arial" w:eastAsia="Arial" w:hAnsi="Arial"/>
          <w:sz w:val="24"/>
          <w:szCs w:val="24"/>
          <w:rtl w:val="0"/>
        </w:rPr>
        <w:t xml:space="preserve">with the </w:t>
      </w:r>
      <w:r w:rsidDel="00000000" w:rsidR="00000000" w:rsidRPr="00000000">
        <w:rPr>
          <w:rFonts w:ascii="Arial" w:cs="Arial" w:eastAsia="Arial" w:hAnsi="Arial"/>
          <w:color w:val="000000"/>
          <w:sz w:val="24"/>
          <w:szCs w:val="24"/>
          <w:rtl w:val="0"/>
        </w:rPr>
        <w:t xml:space="preserve">Contract; and</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s8eyo1" w:id="13"/>
      <w:bookmarkEnd w:id="13"/>
      <w:r w:rsidDel="00000000" w:rsidR="00000000" w:rsidRPr="00000000">
        <w:rPr>
          <w:rFonts w:ascii="Arial" w:cs="Arial" w:eastAsia="Arial" w:hAnsi="Arial"/>
          <w:color w:val="000000"/>
          <w:sz w:val="24"/>
          <w:szCs w:val="24"/>
          <w:rtl w:val="0"/>
        </w:rPr>
        <w:t xml:space="preserve">where</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color w:val="000000"/>
          <w:sz w:val="24"/>
          <w:szCs w:val="24"/>
          <w:rtl w:val="0"/>
        </w:rPr>
        <w:t xml:space="preserve">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color w:val="000000"/>
          <w:sz w:val="24"/>
          <w:szCs w:val="24"/>
          <w:rtl w:val="0"/>
        </w:rPr>
        <w:t xml:space="preserve"> for its Approval, a draft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as soon as reasonably practicable (and in any event, within ten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bookmarkStart w:colFirst="0" w:colLast="0" w:name="_heading=h.17dp8vu" w:id="14"/>
      <w:bookmarkEnd w:id="14"/>
      <w:r w:rsidDel="00000000" w:rsidR="00000000" w:rsidRPr="00000000">
        <w:rPr>
          <w:rFonts w:ascii="Arial" w:cs="Arial" w:eastAsia="Arial" w:hAnsi="Arial"/>
          <w:sz w:val="24"/>
          <w:szCs w:val="24"/>
          <w:rtl w:val="0"/>
        </w:rPr>
        <w:t xml:space="preserve">to the extent that it is legally permitted to do so and subject to Paragraph 4.8, </w:t>
      </w:r>
      <w:r w:rsidDel="00000000" w:rsidR="00000000" w:rsidRPr="00000000">
        <w:rPr>
          <w:rFonts w:ascii="Arial" w:cs="Arial" w:eastAsia="Arial" w:hAnsi="Arial"/>
          <w:color w:val="000000"/>
          <w:sz w:val="24"/>
          <w:szCs w:val="24"/>
          <w:rtl w:val="0"/>
        </w:rPr>
        <w:t xml:space="preserve">provide such information relating to the </w:t>
      </w:r>
      <w:r w:rsidDel="00000000" w:rsidR="00000000" w:rsidRPr="00000000">
        <w:rPr>
          <w:rFonts w:ascii="Arial" w:cs="Arial" w:eastAsia="Arial" w:hAnsi="Arial"/>
          <w:sz w:val="24"/>
          <w:szCs w:val="24"/>
          <w:rtl w:val="0"/>
        </w:rPr>
        <w:t xml:space="preserve">Supplier, any Monitored Supplier, Key Sub-Contractors and/or the Guarantor </w:t>
      </w:r>
      <w:r w:rsidDel="00000000" w:rsidR="00000000" w:rsidRPr="00000000">
        <w:rPr>
          <w:rFonts w:ascii="Arial" w:cs="Arial" w:eastAsia="Arial" w:hAnsi="Arial"/>
          <w:color w:val="000000"/>
          <w:sz w:val="24"/>
          <w:szCs w:val="24"/>
          <w:rtl w:val="0"/>
        </w:rPr>
        <w:t xml:space="preserve">as</w:t>
      </w:r>
      <w:r w:rsidDel="00000000" w:rsidR="00000000" w:rsidRPr="00000000">
        <w:rPr>
          <w:rFonts w:ascii="Arial" w:cs="Arial" w:eastAsia="Arial" w:hAnsi="Arial"/>
          <w:sz w:val="24"/>
          <w:szCs w:val="24"/>
          <w:rtl w:val="0"/>
        </w:rPr>
        <w:t xml:space="preserve"> the Buyer</w:t>
      </w:r>
      <w:r w:rsidDel="00000000" w:rsidR="00000000" w:rsidRPr="00000000">
        <w:rPr>
          <w:rFonts w:ascii="Arial" w:cs="Arial" w:eastAsia="Arial" w:hAnsi="Arial"/>
          <w:color w:val="000000"/>
          <w:sz w:val="24"/>
          <w:szCs w:val="24"/>
          <w:rtl w:val="0"/>
        </w:rPr>
        <w:t xml:space="preserve"> may reasonably require</w:t>
      </w:r>
      <w:r w:rsidDel="00000000" w:rsidR="00000000" w:rsidRPr="00000000">
        <w:rPr>
          <w:rFonts w:ascii="Arial" w:cs="Arial" w:eastAsia="Arial" w:hAnsi="Arial"/>
          <w:sz w:val="24"/>
          <w:szCs w:val="24"/>
          <w:rtl w:val="0"/>
        </w:rPr>
        <w:t xml:space="preserve"> in order to understand the risk to the Deliverables, which may include forecasts in relation to cash flow, orders and profits and details of financial measures being considered to mitigate the impact of the Financial Distress Event.</w:t>
      </w: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sz w:val="24"/>
          <w:szCs w:val="24"/>
        </w:rPr>
      </w:pPr>
      <w:bookmarkStart w:colFirst="0" w:colLast="0" w:name="_heading=h.3rdcrjn" w:id="15"/>
      <w:bookmarkEnd w:id="15"/>
      <w:r w:rsidDel="00000000" w:rsidR="00000000" w:rsidRPr="00000000">
        <w:rPr>
          <w:rFonts w:ascii="Arial" w:cs="Arial" w:eastAsia="Arial" w:hAnsi="Arial"/>
          <w:sz w:val="24"/>
          <w:szCs w:val="24"/>
          <w:rtl w:val="0"/>
        </w:rPr>
        <w:t xml:space="preserve">The Relevant Authority shall not withhold its approval of a draft Financial Distress Remediation Plan unreasonably.If the Relevant Authority does not approve the draft Financial Distress RemediationPlan, it shall inform the Supplier of its reasons and the Supplier shall take those reasons into account in the preparation of a further draft Financial Distress RemediationPlan, which shall be resubmitted to the Relevant Authority within five (5) Working Days of the rejection of the first draft. This process shall be repeated until the Financial Distress RemediationPlan is approved by the Relevant Authority or referred to the Dispute Resolution Procedure set out in Clause 34 of the Core Terms under Paragraph 4.5.</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6in1rg" w:id="16"/>
      <w:bookmarkEnd w:id="16"/>
      <w:r w:rsidDel="00000000" w:rsidR="00000000" w:rsidRPr="00000000">
        <w:rPr>
          <w:rFonts w:ascii="Arial" w:cs="Arial" w:eastAsia="Arial" w:hAnsi="Arial"/>
          <w:color w:val="000000"/>
          <w:sz w:val="24"/>
          <w:szCs w:val="24"/>
          <w:rtl w:val="0"/>
        </w:rPr>
        <w:t xml:space="preserve">If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color w:val="000000"/>
          <w:sz w:val="24"/>
          <w:szCs w:val="24"/>
          <w:rtl w:val="0"/>
        </w:rPr>
        <w:t xml:space="preserve"> considers that the draft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color w:val="000000"/>
          <w:sz w:val="24"/>
          <w:szCs w:val="24"/>
          <w:rtl w:val="0"/>
        </w:rPr>
        <w:t xml:space="preserve">Plan is insufficiently detailed to be properly evaluated, will take too long to complete or will not ensure the continued performance of the Supplier</w:t>
      </w:r>
      <w:r w:rsidDel="00000000" w:rsidR="00000000" w:rsidRPr="00000000">
        <w:rPr>
          <w:rFonts w:ascii="Arial" w:cs="Arial" w:eastAsia="Arial" w:hAnsi="Arial"/>
          <w:sz w:val="24"/>
          <w:szCs w:val="24"/>
          <w:rtl w:val="0"/>
        </w:rPr>
        <w:t xml:space="preserve">’s obligations in accordance with the Contract, </w:t>
      </w:r>
      <w:r w:rsidDel="00000000" w:rsidR="00000000" w:rsidRPr="00000000">
        <w:rPr>
          <w:rFonts w:ascii="Arial" w:cs="Arial" w:eastAsia="Arial" w:hAnsi="Arial"/>
          <w:color w:val="000000"/>
          <w:sz w:val="24"/>
          <w:szCs w:val="24"/>
          <w:rtl w:val="0"/>
        </w:rPr>
        <w:t xml:space="preserve">then it may either agree a further time period for the development and agreement of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or escalate any issues with the draft Financial Distress Remediation Plan using the Dispute Resolution Procedure</w:t>
      </w:r>
      <w:r w:rsidDel="00000000" w:rsidR="00000000" w:rsidRPr="00000000">
        <w:rPr>
          <w:rFonts w:ascii="Arial" w:cs="Arial" w:eastAsia="Arial" w:hAnsi="Arial"/>
          <w:sz w:val="24"/>
          <w:szCs w:val="24"/>
          <w:rtl w:val="0"/>
        </w:rPr>
        <w:t xml:space="preserve"> in Clause 34 of the Core Terms.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lnxbz9" w:id="17"/>
      <w:bookmarkEnd w:id="17"/>
      <w:r w:rsidDel="00000000" w:rsidR="00000000" w:rsidRPr="00000000">
        <w:rPr>
          <w:rFonts w:ascii="Arial" w:cs="Arial" w:eastAsia="Arial" w:hAnsi="Arial"/>
          <w:color w:val="000000"/>
          <w:sz w:val="24"/>
          <w:szCs w:val="24"/>
          <w:rtl w:val="0"/>
        </w:rPr>
        <w:t xml:space="preserve">Following Approval of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color w:val="000000"/>
          <w:sz w:val="24"/>
          <w:szCs w:val="24"/>
          <w:rtl w:val="0"/>
        </w:rPr>
        <w:t xml:space="preserve">Plan by CCS, the Supplier shall:</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5nkun2" w:id="18"/>
      <w:bookmarkEnd w:id="18"/>
      <w:r w:rsidDel="00000000" w:rsidR="00000000" w:rsidRPr="00000000">
        <w:rPr>
          <w:rFonts w:ascii="Arial" w:cs="Arial" w:eastAsia="Arial" w:hAnsi="Arial"/>
          <w:color w:val="000000"/>
          <w:sz w:val="24"/>
          <w:szCs w:val="24"/>
          <w:rtl w:val="0"/>
        </w:rPr>
        <w:t xml:space="preserve">on a regular basis (which shall not be less than </w:t>
      </w:r>
      <w:r w:rsidDel="00000000" w:rsidR="00000000" w:rsidRPr="00000000">
        <w:rPr>
          <w:rFonts w:ascii="Arial" w:cs="Arial" w:eastAsia="Arial" w:hAnsi="Arial"/>
          <w:sz w:val="24"/>
          <w:szCs w:val="24"/>
          <w:rtl w:val="0"/>
        </w:rPr>
        <w:t xml:space="preserve">fortnightly</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bookmarkStart w:colFirst="0" w:colLast="0" w:name="_heading=h.werku3ou9htu" w:id="19"/>
      <w:bookmarkEnd w:id="19"/>
      <w:r w:rsidDel="00000000" w:rsidR="00000000" w:rsidRPr="00000000">
        <w:rPr>
          <w:rFonts w:ascii="Arial" w:cs="Arial" w:eastAsia="Arial" w:hAnsi="Arial"/>
          <w:color w:val="000000"/>
          <w:sz w:val="24"/>
          <w:szCs w:val="24"/>
          <w:rtl w:val="0"/>
        </w:rPr>
        <w:t xml:space="preserve">review and make any update</w:t>
      </w:r>
      <w:r w:rsidDel="00000000" w:rsidR="00000000" w:rsidRPr="00000000">
        <w:rPr>
          <w:rFonts w:ascii="Arial" w:cs="Arial" w:eastAsia="Arial" w:hAnsi="Arial"/>
          <w:sz w:val="24"/>
          <w:szCs w:val="24"/>
          <w:rtl w:val="0"/>
        </w:rPr>
        <w:t xml:space="preserve">s to </w:t>
      </w:r>
      <w:r w:rsidDel="00000000" w:rsidR="00000000" w:rsidRPr="00000000">
        <w:rPr>
          <w:rFonts w:ascii="Arial" w:cs="Arial" w:eastAsia="Arial" w:hAnsi="Arial"/>
          <w:color w:val="000000"/>
          <w:sz w:val="24"/>
          <w:szCs w:val="24"/>
          <w:rtl w:val="0"/>
        </w:rPr>
        <w:t xml:space="preserve">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as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may deem reasonabl</w:t>
      </w:r>
      <w:r w:rsidDel="00000000" w:rsidR="00000000" w:rsidRPr="00000000">
        <w:rPr>
          <w:rFonts w:ascii="Arial" w:cs="Arial" w:eastAsia="Arial" w:hAnsi="Arial"/>
          <w:sz w:val="24"/>
          <w:szCs w:val="24"/>
          <w:rtl w:val="0"/>
        </w:rPr>
        <w:t xml:space="preserve">y necessary and/or as may be reasonably requested by the Relevant Authority, so that the plan </w:t>
      </w:r>
      <w:r w:rsidDel="00000000" w:rsidR="00000000" w:rsidRPr="00000000">
        <w:rPr>
          <w:rFonts w:ascii="Arial" w:cs="Arial" w:eastAsia="Arial" w:hAnsi="Arial"/>
          <w:color w:val="000000"/>
          <w:sz w:val="24"/>
          <w:szCs w:val="24"/>
          <w:rtl w:val="0"/>
        </w:rPr>
        <w:t xml:space="preserve">remains adequat</w:t>
      </w:r>
      <w:r w:rsidDel="00000000" w:rsidR="00000000" w:rsidRPr="00000000">
        <w:rPr>
          <w:rFonts w:ascii="Arial" w:cs="Arial" w:eastAsia="Arial" w:hAnsi="Arial"/>
          <w:sz w:val="24"/>
          <w:szCs w:val="24"/>
          <w:rtl w:val="0"/>
        </w:rPr>
        <w:t xml:space="preserve">e, </w:t>
      </w:r>
      <w:r w:rsidDel="00000000" w:rsidR="00000000" w:rsidRPr="00000000">
        <w:rPr>
          <w:rFonts w:ascii="Arial" w:cs="Arial" w:eastAsia="Arial" w:hAnsi="Arial"/>
          <w:color w:val="000000"/>
          <w:sz w:val="24"/>
          <w:szCs w:val="24"/>
          <w:rtl w:val="0"/>
        </w:rPr>
        <w:t xml:space="preserve"> up to date and ensures the continued performance and delivery of the Deliverables in accordance with Contract; and</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ksv4uv" w:id="20"/>
      <w:bookmarkEnd w:id="20"/>
      <w:r w:rsidDel="00000000" w:rsidR="00000000" w:rsidRPr="00000000">
        <w:rPr>
          <w:rFonts w:ascii="Arial" w:cs="Arial" w:eastAsia="Arial" w:hAnsi="Arial"/>
          <w:color w:val="000000"/>
          <w:sz w:val="24"/>
          <w:szCs w:val="24"/>
          <w:rtl w:val="0"/>
        </w:rPr>
        <w:t xml:space="preserve">where updates are made to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color w:val="000000"/>
          <w:sz w:val="24"/>
          <w:szCs w:val="24"/>
          <w:rtl w:val="0"/>
        </w:rPr>
        <w:t xml:space="preserve"> Plan in accordance with Paragraph 4.6.1, submit an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color w:val="000000"/>
          <w:sz w:val="24"/>
          <w:szCs w:val="24"/>
          <w:rtl w:val="0"/>
        </w:rPr>
        <w:t xml:space="preserve">Plan to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color w:val="000000"/>
          <w:sz w:val="24"/>
          <w:szCs w:val="24"/>
          <w:rtl w:val="0"/>
        </w:rPr>
        <w:t xml:space="preserve"> for its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pproval, and the provisions of Paragraphs 4.</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 and 4.</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 shall apply to the review and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pproval process for the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color w:val="000000"/>
          <w:sz w:val="24"/>
          <w:szCs w:val="24"/>
          <w:rtl w:val="0"/>
        </w:rPr>
        <w:t xml:space="preserve"> Plan; and </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44sinio" w:id="21"/>
      <w:bookmarkEnd w:id="21"/>
      <w:r w:rsidDel="00000000" w:rsidR="00000000" w:rsidRPr="00000000">
        <w:rPr>
          <w:rFonts w:ascii="Arial" w:cs="Arial" w:eastAsia="Arial" w:hAnsi="Arial"/>
          <w:color w:val="000000"/>
          <w:sz w:val="24"/>
          <w:szCs w:val="24"/>
          <w:rtl w:val="0"/>
        </w:rPr>
        <w:t xml:space="preserve">comply with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(including any updated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w:t>
      </w:r>
      <w:r w:rsidDel="00000000" w:rsidR="00000000" w:rsidRPr="00000000">
        <w:rPr>
          <w:rFonts w:ascii="Arial" w:cs="Arial" w:eastAsia="Arial" w:hAnsi="Arial"/>
          <w:sz w:val="24"/>
          <w:szCs w:val="24"/>
          <w:rtl w:val="0"/>
        </w:rPr>
        <w:t xml:space="preserve">and ensure that it achieves the financial and performance requirements set out in the Financial Distress Remediation Plan.</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jxsxqh" w:id="22"/>
      <w:bookmarkEnd w:id="22"/>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w:t>
      </w:r>
      <w:r w:rsidDel="00000000" w:rsidR="00000000" w:rsidRPr="00000000">
        <w:rPr>
          <w:rFonts w:ascii="Arial" w:cs="Arial" w:eastAsia="Arial" w:hAnsi="Arial"/>
          <w:sz w:val="24"/>
          <w:szCs w:val="24"/>
          <w:rtl w:val="0"/>
        </w:rPr>
        <w:t xml:space="preserve">4.1 </w:t>
      </w:r>
      <w:r w:rsidDel="00000000" w:rsidR="00000000" w:rsidRPr="00000000">
        <w:rPr>
          <w:rFonts w:ascii="Arial" w:cs="Arial" w:eastAsia="Arial" w:hAnsi="Arial"/>
          <w:color w:val="000000"/>
          <w:sz w:val="24"/>
          <w:szCs w:val="24"/>
          <w:rtl w:val="0"/>
        </w:rPr>
        <w:t xml:space="preserve">(or the circumstance or matter which has caused or otherwise led to it) no longer exists, it shall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sz w:val="24"/>
          <w:szCs w:val="24"/>
          <w:rtl w:val="0"/>
        </w:rPr>
        <w:t xml:space="preserve">the Parties may agree that </w:t>
      </w:r>
      <w:r w:rsidDel="00000000" w:rsidR="00000000" w:rsidRPr="00000000">
        <w:rPr>
          <w:rFonts w:ascii="Arial" w:cs="Arial" w:eastAsia="Arial" w:hAnsi="Arial"/>
          <w:color w:val="000000"/>
          <w:sz w:val="24"/>
          <w:szCs w:val="24"/>
          <w:rtl w:val="0"/>
        </w:rPr>
        <w:t xml:space="preserve">the Supplier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color w:val="000000"/>
          <w:sz w:val="24"/>
          <w:szCs w:val="24"/>
          <w:rtl w:val="0"/>
        </w:rPr>
        <w:t xml:space="preserve"> be relieved of its obligations under Paragraph 4.6. </w:t>
      </w:r>
    </w:p>
    <w:p w:rsidR="00000000" w:rsidDel="00000000" w:rsidP="00000000" w:rsidRDefault="00000000" w:rsidRPr="00000000" w14:paraId="00000050">
      <w:pPr>
        <w:numPr>
          <w:ilvl w:val="1"/>
          <w:numId w:val="1"/>
        </w:numPr>
        <w:tabs>
          <w:tab w:val="left" w:leader="none" w:pos="1134"/>
        </w:tabs>
        <w:spacing w:after="120" w:before="120" w:lineRule="auto"/>
        <w:ind w:left="644" w:hanging="359"/>
        <w:jc w:val="left"/>
        <w:rPr/>
      </w:pPr>
      <w:r w:rsidDel="00000000" w:rsidR="00000000" w:rsidRPr="00000000">
        <w:rPr>
          <w:rFonts w:ascii="Arial" w:cs="Arial" w:eastAsia="Arial" w:hAnsi="Arial"/>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1">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2">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3">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4">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55">
      <w:pPr>
        <w:keepNext w:val="1"/>
        <w:numPr>
          <w:ilvl w:val="0"/>
          <w:numId w:val="1"/>
        </w:numPr>
        <w:tabs>
          <w:tab w:val="left" w:leader="none" w:pos="142"/>
        </w:tabs>
        <w:spacing w:before="120" w:lineRule="auto"/>
        <w:ind w:left="360" w:hanging="360"/>
        <w:jc w:val="left"/>
        <w:rPr>
          <w:smallCaps w:val="1"/>
        </w:rPr>
      </w:pPr>
      <w:r w:rsidDel="00000000" w:rsidR="00000000" w:rsidRPr="00000000">
        <w:rPr>
          <w:rFonts w:ascii="Arial" w:cs="Arial" w:eastAsia="Arial" w:hAnsi="Arial"/>
          <w:b w:val="1"/>
          <w:sz w:val="24"/>
          <w:szCs w:val="24"/>
          <w:rtl w:val="0"/>
        </w:rPr>
        <w:t xml:space="preserve">Financial Indicators</w:t>
      </w:r>
      <w:r w:rsidDel="00000000" w:rsidR="00000000" w:rsidRPr="00000000">
        <w:rPr>
          <w:rtl w:val="0"/>
        </w:rPr>
      </w:r>
    </w:p>
    <w:p w:rsidR="00000000" w:rsidDel="00000000" w:rsidP="00000000" w:rsidRDefault="00000000" w:rsidRPr="00000000" w14:paraId="00000056">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 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57">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tl w:val="0"/>
        </w:rPr>
      </w:r>
    </w:p>
    <w:tbl>
      <w:tblPr>
        <w:tblStyle w:val="Table2"/>
        <w:tblW w:w="9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46"/>
        <w:gridCol w:w="2066"/>
        <w:gridCol w:w="1814"/>
        <w:gridCol w:w="2899"/>
        <w:tblGridChange w:id="0">
          <w:tblGrid>
            <w:gridCol w:w="2246"/>
            <w:gridCol w:w="2066"/>
            <w:gridCol w:w="1814"/>
            <w:gridCol w:w="2899"/>
          </w:tblGrid>
        </w:tblGridChange>
      </w:tblGrid>
      <w:tr>
        <w:trPr>
          <w:cantSplit w:val="0"/>
          <w:trHeight w:val="183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58">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59">
            <w:pPr>
              <w:keepNext w:val="1"/>
              <w:tabs>
                <w:tab w:val="left" w:leader="none" w:pos="142"/>
              </w:tabs>
              <w:spacing w:after="200" w:before="100" w:lineRule="auto"/>
              <w:jc w:val="center"/>
              <w:rPr>
                <w:rFonts w:ascii="Arial" w:cs="Arial" w:eastAsia="Arial" w:hAnsi="Arial"/>
                <w:b w:val="1"/>
                <w:sz w:val="24"/>
                <w:szCs w:val="24"/>
                <w:vertAlign w:val="superscript"/>
              </w:rPr>
            </w:pPr>
            <w:r w:rsidDel="00000000" w:rsidR="00000000" w:rsidRPr="00000000">
              <w:rPr>
                <w:rFonts w:ascii="Arial" w:cs="Arial" w:eastAsia="Arial" w:hAnsi="Arial"/>
                <w:b w:val="1"/>
                <w:sz w:val="24"/>
                <w:szCs w:val="24"/>
                <w:rtl w:val="0"/>
              </w:rPr>
              <w:t xml:space="preserve">Calculation</w:t>
            </w:r>
            <w:r w:rsidDel="00000000" w:rsidR="00000000" w:rsidRPr="00000000">
              <w:rPr>
                <w:rFonts w:ascii="Arial" w:cs="Arial" w:eastAsia="Arial" w:hAnsi="Arial"/>
                <w:b w:val="1"/>
                <w:sz w:val="24"/>
                <w:szCs w:val="24"/>
                <w:vertAlign w:val="superscript"/>
                <w:rtl w:val="0"/>
              </w:rPr>
              <w:t xml:space="preserve">1</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5A">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5B">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Monitoring and Reporting Frequency if different from the default position set out in Paragraph 2.3.2</w:t>
            </w:r>
          </w:p>
        </w:tc>
      </w:tr>
      <w:tr>
        <w:trPr>
          <w:cantSplit w:val="0"/>
          <w:trHeight w:val="28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5D">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p w:rsidR="00000000" w:rsidDel="00000000" w:rsidP="00000000" w:rsidRDefault="00000000" w:rsidRPr="00000000" w14:paraId="0000005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F">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[Operating Margin = Operating Profit / Revenue]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7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63">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Ratio</w:t>
            </w:r>
          </w:p>
          <w:p w:rsidR="00000000" w:rsidDel="00000000" w:rsidP="00000000" w:rsidRDefault="00000000" w:rsidRPr="00000000" w14:paraId="00000064">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5">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Debt to EBITDA ratio = Net Debt / EBITDA]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6">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3.5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69">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Debt + Net Pension Deficit to EBITDA Ratio = (Net Debt + Net Pension Deficit) / EBITDA]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B">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5.0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C">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2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D">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6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F">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Interest Paid Cover = Earnings Before Interest and Tax / Net Interest Paid]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3.0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9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2">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73">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4">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[Acid Ratio = (Current Assets – Inventories) / Current Liabilities]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5">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0.8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9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78">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Asset Value = Net Assets]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B">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6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C">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7D">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E">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[Group Exposure / Gross Assets]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F">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50%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bl>
    <w:p w:rsidR="00000000" w:rsidDel="00000000" w:rsidP="00000000" w:rsidRDefault="00000000" w:rsidRPr="00000000" w14:paraId="00000081">
      <w:pPr>
        <w:keepNext w:val="1"/>
        <w:tabs>
          <w:tab w:val="left" w:leader="none" w:pos="142"/>
        </w:tabs>
        <w:spacing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1"/>
        <w:tabs>
          <w:tab w:val="left" w:leader="none" w:pos="142"/>
        </w:tabs>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83">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5.2</w:t>
      </w:r>
      <w:r w:rsidDel="00000000" w:rsidR="00000000" w:rsidRPr="00000000">
        <w:rPr>
          <w:rFonts w:ascii="Times New Roman" w:cs="Times New Roman" w:eastAsia="Times New Roman" w:hAnsi="Times New Roman"/>
          <w:b w:val="1"/>
          <w:sz w:val="14"/>
          <w:szCs w:val="14"/>
          <w:rtl w:val="0"/>
        </w:rPr>
        <w:t xml:space="preserve"> </w:t>
      </w:r>
      <w:r w:rsidDel="00000000" w:rsidR="00000000" w:rsidRPr="00000000">
        <w:rPr>
          <w:rFonts w:ascii="Arial" w:cs="Arial" w:eastAsia="Arial" w:hAnsi="Arial"/>
          <w:b w:val="1"/>
          <w:sz w:val="24"/>
          <w:szCs w:val="24"/>
          <w:rtl w:val="0"/>
        </w:rPr>
        <w:t xml:space="preserve">Monitored Suppliers</w:t>
      </w:r>
    </w:p>
    <w:p w:rsidR="00000000" w:rsidDel="00000000" w:rsidP="00000000" w:rsidRDefault="00000000" w:rsidRPr="00000000" w14:paraId="00000084">
      <w:pPr>
        <w:keepNext w:val="1"/>
        <w:tabs>
          <w:tab w:val="left" w:leader="none" w:pos="142"/>
        </w:tabs>
        <w:spacing w:after="120" w:before="120" w:lineRule="auto"/>
        <w:ind w:left="360" w:firstLine="0"/>
        <w:jc w:val="left"/>
        <w:rPr>
          <w:rFonts w:ascii="Arial" w:cs="Arial" w:eastAsia="Arial" w:hAnsi="Arial"/>
          <w:b w:val="1"/>
          <w:sz w:val="24"/>
          <w:szCs w:val="24"/>
          <w:highlight w:val="yellow"/>
        </w:rPr>
      </w:pPr>
      <w:r w:rsidDel="00000000" w:rsidR="00000000" w:rsidRPr="00000000">
        <w:rPr>
          <w:rtl w:val="0"/>
        </w:rPr>
      </w:r>
    </w:p>
    <w:tbl>
      <w:tblPr>
        <w:tblStyle w:val="Table3"/>
        <w:tblW w:w="8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0"/>
        <w:gridCol w:w="4200"/>
        <w:tblGridChange w:id="0">
          <w:tblGrid>
            <w:gridCol w:w="4200"/>
            <w:gridCol w:w="4200"/>
          </w:tblGrid>
        </w:tblGridChange>
      </w:tblGrid>
      <w:tr>
        <w:trPr>
          <w:cantSplit w:val="0"/>
          <w:trHeight w:val="234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85">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Supplier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86">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Financial Indicators</w:t>
            </w:r>
          </w:p>
          <w:p w:rsidR="00000000" w:rsidDel="00000000" w:rsidP="00000000" w:rsidRDefault="00000000" w:rsidRPr="00000000" w14:paraId="00000087">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(these are the Financial Indicators from the table in section 5.1 which are to apply to the Monitored Suppliers)</w:t>
            </w:r>
          </w:p>
        </w:tc>
      </w:tr>
      <w:tr>
        <w:trPr>
          <w:cantSplit w:val="0"/>
          <w:trHeight w:val="17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8">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 Operating Margin</w:t>
            </w:r>
          </w:p>
          <w:p w:rsidR="00000000" w:rsidDel="00000000" w:rsidP="00000000" w:rsidRDefault="00000000" w:rsidRPr="00000000" w14:paraId="0000008A">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2 -Net Debt Ratio</w:t>
            </w:r>
          </w:p>
          <w:p w:rsidR="00000000" w:rsidDel="00000000" w:rsidP="00000000" w:rsidRDefault="00000000" w:rsidRPr="00000000" w14:paraId="0000008B">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 Net Debt + Net Pension Deficit to EBITDA ratio</w:t>
            </w:r>
          </w:p>
          <w:p w:rsidR="00000000" w:rsidDel="00000000" w:rsidP="00000000" w:rsidRDefault="00000000" w:rsidRPr="00000000" w14:paraId="0000008C">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 Net Interest Paid Cover</w:t>
            </w:r>
          </w:p>
          <w:p w:rsidR="00000000" w:rsidDel="00000000" w:rsidP="00000000" w:rsidRDefault="00000000" w:rsidRPr="00000000" w14:paraId="0000008D">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 Acid Ratio</w:t>
            </w:r>
          </w:p>
          <w:p w:rsidR="00000000" w:rsidDel="00000000" w:rsidP="00000000" w:rsidRDefault="00000000" w:rsidRPr="00000000" w14:paraId="0000008E">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Net Asset value</w:t>
            </w:r>
          </w:p>
          <w:p w:rsidR="00000000" w:rsidDel="00000000" w:rsidP="00000000" w:rsidRDefault="00000000" w:rsidRPr="00000000" w14:paraId="0000008F">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 Group Exposure Ratio</w:t>
            </w:r>
          </w:p>
        </w:tc>
      </w:tr>
      <w:tr>
        <w:trPr>
          <w:cantSplit w:val="0"/>
          <w:trHeight w:val="17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0">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 Operating Margin</w:t>
            </w:r>
          </w:p>
          <w:p w:rsidR="00000000" w:rsidDel="00000000" w:rsidP="00000000" w:rsidRDefault="00000000" w:rsidRPr="00000000" w14:paraId="00000092">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2 -Net Debt Ratio</w:t>
            </w:r>
          </w:p>
          <w:p w:rsidR="00000000" w:rsidDel="00000000" w:rsidP="00000000" w:rsidRDefault="00000000" w:rsidRPr="00000000" w14:paraId="00000093">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 Net Debt + Net Pension Deficit to EBITDA ratio</w:t>
            </w:r>
          </w:p>
          <w:p w:rsidR="00000000" w:rsidDel="00000000" w:rsidP="00000000" w:rsidRDefault="00000000" w:rsidRPr="00000000" w14:paraId="00000094">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 Net Interest Paid Cover</w:t>
            </w:r>
          </w:p>
          <w:p w:rsidR="00000000" w:rsidDel="00000000" w:rsidP="00000000" w:rsidRDefault="00000000" w:rsidRPr="00000000" w14:paraId="00000095">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 Acid Ratio</w:t>
            </w:r>
          </w:p>
          <w:p w:rsidR="00000000" w:rsidDel="00000000" w:rsidP="00000000" w:rsidRDefault="00000000" w:rsidRPr="00000000" w14:paraId="00000096">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Net Asset value</w:t>
            </w:r>
          </w:p>
          <w:p w:rsidR="00000000" w:rsidDel="00000000" w:rsidP="00000000" w:rsidRDefault="00000000" w:rsidRPr="00000000" w14:paraId="00000097">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 Group Exposure Ratio</w:t>
            </w:r>
          </w:p>
        </w:tc>
      </w:tr>
    </w:tbl>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tabs>
          <w:tab w:val="left" w:leader="none" w:pos="142"/>
        </w:tabs>
        <w:spacing w:before="120" w:lineRule="auto"/>
        <w:ind w:left="36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Termination Rights</w:t>
      </w:r>
      <w:r w:rsidDel="00000000" w:rsidR="00000000" w:rsidRPr="00000000">
        <w:rPr>
          <w:rtl w:val="0"/>
        </w:rPr>
      </w:r>
    </w:p>
    <w:p w:rsidR="00000000" w:rsidDel="00000000" w:rsidP="00000000" w:rsidRDefault="00000000" w:rsidRPr="00000000" w14:paraId="0000009A">
      <w:pPr>
        <w:keepNext w:val="1"/>
        <w:numPr>
          <w:ilvl w:val="1"/>
          <w:numId w:val="1"/>
        </w:numPr>
        <w:pBdr>
          <w:top w:space="0" w:sz="0" w:val="nil"/>
          <w:left w:space="0" w:sz="0" w:val="nil"/>
          <w:bottom w:space="0" w:sz="0" w:val="nil"/>
          <w:right w:space="0" w:sz="0" w:val="nil"/>
          <w:between w:space="0" w:sz="0" w:val="nil"/>
        </w:pBdr>
        <w:tabs>
          <w:tab w:val="left" w:leader="none" w:pos="1985"/>
        </w:tabs>
        <w:spacing w:after="120" w:before="120" w:lineRule="auto"/>
        <w:ind w:left="644" w:hanging="359"/>
        <w:jc w:val="left"/>
        <w:rPr>
          <w:rFonts w:ascii="Arial" w:cs="Arial" w:eastAsia="Arial" w:hAnsi="Arial"/>
          <w:color w:val="000000"/>
          <w:sz w:val="24"/>
          <w:szCs w:val="24"/>
        </w:rPr>
      </w:pPr>
      <w:bookmarkStart w:colFirst="0" w:colLast="0" w:name="_heading=h.z337ya" w:id="23"/>
      <w:bookmarkEnd w:id="23"/>
      <w:r w:rsidDel="00000000" w:rsidR="00000000" w:rsidRPr="00000000">
        <w:rPr>
          <w:rFonts w:ascii="Arial" w:cs="Arial" w:eastAsia="Arial" w:hAnsi="Arial"/>
          <w:sz w:val="24"/>
          <w:szCs w:val="24"/>
          <w:rtl w:val="0"/>
        </w:rPr>
        <w:t xml:space="preserve">The Relevant Authority </w:t>
      </w:r>
      <w:r w:rsidDel="00000000" w:rsidR="00000000" w:rsidRPr="00000000">
        <w:rPr>
          <w:rFonts w:ascii="Arial" w:cs="Arial" w:eastAsia="Arial" w:hAnsi="Arial"/>
          <w:color w:val="000000"/>
          <w:sz w:val="24"/>
          <w:szCs w:val="24"/>
          <w:rtl w:val="0"/>
        </w:rPr>
        <w:t xml:space="preserve"> shall be entitled to terminate th</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 Contract if: </w:t>
      </w:r>
    </w:p>
    <w:p w:rsidR="00000000" w:rsidDel="00000000" w:rsidP="00000000" w:rsidRDefault="00000000" w:rsidRPr="00000000" w14:paraId="0000009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uk9bxpawkxrr" w:id="24"/>
      <w:bookmarkEnd w:id="24"/>
      <w:r w:rsidDel="00000000" w:rsidR="00000000" w:rsidRPr="00000000">
        <w:rPr>
          <w:rFonts w:ascii="Arial" w:cs="Arial" w:eastAsia="Arial" w:hAnsi="Arial"/>
          <w:color w:val="000000"/>
          <w:sz w:val="24"/>
          <w:szCs w:val="24"/>
          <w:rtl w:val="0"/>
        </w:rPr>
        <w:t xml:space="preserve">the Supplier fails to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color w:val="000000"/>
          <w:sz w:val="24"/>
          <w:szCs w:val="24"/>
          <w:rtl w:val="0"/>
        </w:rPr>
        <w:t xml:space="preserve"> of a Financial Distress Event in accordance with Paragraph </w:t>
      </w:r>
      <w:r w:rsidDel="00000000" w:rsidR="00000000" w:rsidRPr="00000000">
        <w:rPr>
          <w:rFonts w:ascii="Arial" w:cs="Arial" w:eastAsia="Arial" w:hAnsi="Arial"/>
          <w:sz w:val="24"/>
          <w:szCs w:val="24"/>
          <w:rtl w:val="0"/>
        </w:rPr>
        <w:t xml:space="preserve">2.3.3</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Parties</w:t>
      </w:r>
      <w:r w:rsidDel="00000000" w:rsidR="00000000" w:rsidRPr="00000000">
        <w:rPr>
          <w:rFonts w:ascii="Arial" w:cs="Arial" w:eastAsia="Arial" w:hAnsi="Arial"/>
          <w:color w:val="000000"/>
          <w:sz w:val="24"/>
          <w:szCs w:val="24"/>
          <w:rtl w:val="0"/>
        </w:rPr>
        <w:t xml:space="preserve"> fail to agree a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(or any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color w:val="000000"/>
          <w:sz w:val="24"/>
          <w:szCs w:val="24"/>
          <w:rtl w:val="0"/>
        </w:rPr>
        <w:t xml:space="preserve">Plan) in accordance with Paragraphs 4.3 to 4.5; and/or</w:t>
      </w:r>
    </w:p>
    <w:p w:rsidR="00000000" w:rsidDel="00000000" w:rsidP="00000000" w:rsidRDefault="00000000" w:rsidRPr="00000000" w14:paraId="0000009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(or any updated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color w:val="000000"/>
          <w:sz w:val="24"/>
          <w:szCs w:val="24"/>
          <w:rtl w:val="0"/>
        </w:rPr>
        <w:t xml:space="preserve">Plan) in accordance with Paragraph 4.6.3.</w:t>
      </w:r>
    </w:p>
    <w:p w:rsidR="00000000" w:rsidDel="00000000" w:rsidP="00000000" w:rsidRDefault="00000000" w:rsidRPr="00000000" w14:paraId="0000009E">
      <w:pPr>
        <w:tabs>
          <w:tab w:val="left" w:leader="none" w:pos="198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985"/>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A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bookmarkStart w:colFirst="0" w:colLast="0" w:name="_heading=h.3j2qqm3" w:id="25"/>
      <w:bookmarkEnd w:id="25"/>
      <w:r w:rsidDel="00000000" w:rsidR="00000000" w:rsidRPr="00000000">
        <w:rPr>
          <w:rFonts w:ascii="Arial" w:cs="Arial" w:eastAsia="Arial" w:hAnsi="Arial"/>
          <w:b w:val="1"/>
          <w:sz w:val="24"/>
          <w:szCs w:val="24"/>
          <w:rtl w:val="0"/>
        </w:rPr>
        <w:t xml:space="preserve">Primacy of Credit Ratings </w:t>
      </w:r>
      <w:r w:rsidDel="00000000" w:rsidR="00000000" w:rsidRPr="00000000">
        <w:rPr>
          <w:rtl w:val="0"/>
        </w:rPr>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relieved automatically of its obligations under Paragraphs 4.3 to 4.6; and</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0A5">
      <w:pPr>
        <w:tabs>
          <w:tab w:val="left" w:leader="none" w:pos="1985"/>
        </w:tabs>
        <w:spacing w:before="120" w:lineRule="auto"/>
        <w:ind w:left="720"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Board confirmation</w:t>
      </w:r>
    </w:p>
    <w:p w:rsidR="00000000" w:rsidDel="00000000" w:rsidP="00000000" w:rsidRDefault="00000000" w:rsidRPr="00000000" w14:paraId="000000A6">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7">
      <w:pPr>
        <w:tabs>
          <w:tab w:val="left" w:leader="none" w:pos="1985"/>
        </w:tabs>
        <w:spacing w:after="120" w:before="120" w:lineRule="auto"/>
        <w:ind w:left="31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8">
      <w:pPr>
        <w:tabs>
          <w:tab w:val="left" w:leader="none" w:pos="1985"/>
        </w:tabs>
        <w:spacing w:after="120" w:before="120" w:lineRule="auto"/>
        <w:ind w:left="31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9">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A">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B">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C">
      <w:pPr>
        <w:tabs>
          <w:tab w:val="left" w:leader="none" w:pos="1985"/>
        </w:tabs>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9.</w:t>
      </w:r>
      <w:r w:rsidDel="00000000" w:rsidR="00000000" w:rsidRPr="00000000">
        <w:rPr>
          <w:rFonts w:ascii="Times New Roman" w:cs="Times New Roman" w:eastAsia="Times New Roman" w:hAnsi="Times New Roman"/>
          <w:sz w:val="14"/>
          <w:szCs w:val="14"/>
          <w:rtl w:val="0"/>
        </w:rPr>
        <w:tab/>
      </w:r>
      <w:r w:rsidDel="00000000" w:rsidR="00000000" w:rsidRPr="00000000">
        <w:rPr>
          <w:b w:val="1"/>
          <w:sz w:val="24"/>
          <w:szCs w:val="24"/>
          <w:rtl w:val="0"/>
        </w:rPr>
        <w:t xml:space="preserve">Optional Clauses</w:t>
      </w:r>
    </w:p>
    <w:p w:rsidR="00000000" w:rsidDel="00000000" w:rsidP="00000000" w:rsidRDefault="00000000" w:rsidRPr="00000000" w14:paraId="000000AD">
      <w:pPr>
        <w:tabs>
          <w:tab w:val="left" w:leader="none" w:pos="1985"/>
        </w:tabs>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a Buyer’s Call-Off Contract is a Bronze Contract, if specified in the Order Form, the terms at Annex 5 shall apply to the Call-Off Contract in place of the foregoing terms of this Joint Schedule 7.</w:t>
      </w:r>
    </w:p>
    <w:p w:rsidR="00000000" w:rsidDel="00000000" w:rsidP="00000000" w:rsidRDefault="00000000" w:rsidRPr="00000000" w14:paraId="000000AE">
      <w:pPr>
        <w:tabs>
          <w:tab w:val="left" w:leader="none" w:pos="1985"/>
        </w:tabs>
        <w:spacing w:before="120" w:lineRule="auto"/>
        <w:ind w:left="360" w:firstLine="0"/>
        <w:rPr>
          <w:b w:val="1"/>
        </w:rPr>
      </w:pPr>
      <w:r w:rsidDel="00000000" w:rsidR="00000000" w:rsidRPr="00000000">
        <w:rPr>
          <w:b w:val="1"/>
          <w:rtl w:val="0"/>
        </w:rPr>
        <w:t xml:space="preserve"> </w:t>
      </w:r>
    </w:p>
    <w:p w:rsidR="00000000" w:rsidDel="00000000" w:rsidP="00000000" w:rsidRDefault="00000000" w:rsidRPr="00000000" w14:paraId="000000AF">
      <w:pPr>
        <w:tabs>
          <w:tab w:val="left" w:leader="none" w:pos="1985"/>
        </w:tabs>
        <w:spacing w:after="120" w:before="120" w:lineRule="auto"/>
        <w:jc w:val="left"/>
        <w:rPr>
          <w:rFonts w:ascii="Arial" w:cs="Arial" w:eastAsia="Arial" w:hAnsi="Arial"/>
          <w:color w:val="008080"/>
          <w:sz w:val="24"/>
          <w:szCs w:val="24"/>
          <w:u w:val="singl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985"/>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y810tw" w:id="26"/>
      <w:bookmarkEnd w:id="26"/>
      <w:r w:rsidDel="00000000" w:rsidR="00000000" w:rsidRPr="00000000">
        <w:br w:type="page"/>
      </w:r>
      <w:r w:rsidDel="00000000" w:rsidR="00000000" w:rsidRPr="00000000">
        <w:rPr>
          <w:rtl w:val="0"/>
        </w:rPr>
      </w:r>
    </w:p>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24"/>
          <w:szCs w:val="24"/>
          <w:u w:val="single"/>
        </w:rPr>
      </w:pPr>
      <w:bookmarkStart w:colFirst="0" w:colLast="0" w:name="_heading=h.4i7ojhp" w:id="27"/>
      <w:bookmarkEnd w:id="27"/>
      <w:r w:rsidDel="00000000" w:rsidR="00000000" w:rsidRPr="00000000">
        <w:rPr>
          <w:rFonts w:ascii="Arial" w:cs="Arial" w:eastAsia="Arial" w:hAnsi="Arial"/>
          <w:b w:val="1"/>
          <w:sz w:val="24"/>
          <w:szCs w:val="24"/>
          <w:u w:val="single"/>
          <w:rtl w:val="0"/>
        </w:rPr>
        <w:t xml:space="preserve">Annex 1:</w:t>
      </w:r>
      <w:r w:rsidDel="00000000" w:rsidR="00000000" w:rsidRPr="00000000">
        <w:rPr>
          <w:rFonts w:ascii="Arial" w:cs="Arial" w:eastAsia="Arial" w:hAnsi="Arial"/>
          <w:b w:val="1"/>
          <w:smallCaps w:val="1"/>
          <w:sz w:val="24"/>
          <w:szCs w:val="24"/>
          <w:u w:val="single"/>
          <w:rtl w:val="0"/>
        </w:rPr>
        <w:t xml:space="preserve"> </w:t>
      </w:r>
      <w:r w:rsidDel="00000000" w:rsidR="00000000" w:rsidRPr="00000000">
        <w:rPr>
          <w:rFonts w:ascii="Arial" w:cs="Arial" w:eastAsia="Arial" w:hAnsi="Arial"/>
          <w:b w:val="1"/>
          <w:sz w:val="24"/>
          <w:szCs w:val="24"/>
          <w:u w:val="single"/>
          <w:rtl w:val="0"/>
        </w:rPr>
        <w:t xml:space="preserve">Rating Agencies and their standard Rating System</w:t>
      </w:r>
      <w:r w:rsidDel="00000000" w:rsidR="00000000" w:rsidRPr="00000000">
        <w:rPr>
          <w:rtl w:val="0"/>
        </w:rPr>
      </w:r>
    </w:p>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2xcytpi" w:id="28"/>
      <w:bookmarkEnd w:id="28"/>
      <w:r w:rsidDel="00000000" w:rsidR="00000000" w:rsidRPr="00000000">
        <w:br w:type="page"/>
      </w:r>
      <w:r w:rsidDel="00000000" w:rsidR="00000000" w:rsidRPr="00000000">
        <w:rPr>
          <w:rFonts w:ascii="Arial" w:cs="Arial" w:eastAsia="Arial" w:hAnsi="Arial"/>
          <w:b w:val="1"/>
          <w:sz w:val="24"/>
          <w:szCs w:val="24"/>
          <w:u w:val="single"/>
          <w:rtl w:val="0"/>
        </w:rPr>
        <w:t xml:space="preserve">Annex 2: </w:t>
      </w:r>
      <w:r w:rsidDel="00000000" w:rsidR="00000000" w:rsidRPr="00000000">
        <w:rPr>
          <w:rFonts w:ascii="Arial" w:cs="Arial" w:eastAsia="Arial" w:hAnsi="Arial"/>
          <w:b w:val="1"/>
          <w:smallCaps w:val="1"/>
          <w:sz w:val="24"/>
          <w:szCs w:val="24"/>
          <w:u w:val="single"/>
          <w:rtl w:val="0"/>
        </w:rPr>
        <w:t xml:space="preserve"> </w:t>
      </w:r>
      <w:r w:rsidDel="00000000" w:rsidR="00000000" w:rsidRPr="00000000">
        <w:rPr>
          <w:rFonts w:ascii="Arial" w:cs="Arial" w:eastAsia="Arial" w:hAnsi="Arial"/>
          <w:b w:val="1"/>
          <w:sz w:val="24"/>
          <w:szCs w:val="24"/>
          <w:u w:val="single"/>
          <w:rtl w:val="0"/>
        </w:rPr>
        <w:t xml:space="preserve">Credit Ratings and Credit Rating Thresholds</w:t>
      </w:r>
      <w:r w:rsidDel="00000000" w:rsidR="00000000" w:rsidRPr="00000000">
        <w:rPr>
          <w:rtl w:val="0"/>
        </w:rPr>
      </w:r>
    </w:p>
    <w:tbl>
      <w:tblPr>
        <w:tblStyle w:val="Table4"/>
        <w:tblW w:w="6161.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B9">
            <w:pPr>
              <w:keepNext w:val="1"/>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Guarantor</w:t>
            </w:r>
          </w:p>
        </w:tc>
        <w:tc>
          <w:tcPr>
            <w:shd w:fill="ffffff" w:val="clear"/>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r>
      <w:tr>
        <w:trPr>
          <w:cantSplit w:val="0"/>
          <w:tblHeader w:val="0"/>
        </w:trPr>
        <w:tc>
          <w:tcPr>
            <w:shd w:fill="ffffff" w:val="clear"/>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Key sub-contractor</w:t>
            </w:r>
            <w:r w:rsidDel="00000000" w:rsidR="00000000" w:rsidRPr="00000000">
              <w:rPr>
                <w:rtl w:val="0"/>
              </w:rPr>
            </w:r>
          </w:p>
        </w:tc>
        <w:tc>
          <w:tcPr>
            <w:shd w:fill="ffffff" w:val="clear"/>
          </w:tcPr>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r>
    </w:tbl>
    <w:p w:rsidR="00000000" w:rsidDel="00000000" w:rsidP="00000000" w:rsidRDefault="00000000" w:rsidRPr="00000000" w14:paraId="000000B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0">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1">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2">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3">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4">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5">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6">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7">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8">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9">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A">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B">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C">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D">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E">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F">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0">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1">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2">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3">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4">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Calculation methodology for Financial Indicators</w:t>
      </w:r>
    </w:p>
    <w:p w:rsidR="00000000" w:rsidDel="00000000" w:rsidP="00000000" w:rsidRDefault="00000000" w:rsidRPr="00000000" w14:paraId="000000D5">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6">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General methodology</w:t>
      </w:r>
    </w:p>
    <w:p w:rsidR="00000000" w:rsidDel="00000000" w:rsidP="00000000" w:rsidRDefault="00000000" w:rsidRPr="00000000" w14:paraId="000000D7">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Terminology</w:t>
      </w:r>
      <w:r w:rsidDel="00000000" w:rsidR="00000000" w:rsidRPr="00000000">
        <w:rPr>
          <w:rFonts w:ascii="Arial" w:cs="Arial" w:eastAsia="Arial" w:hAnsi="Arial"/>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8">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Groups</w:t>
      </w:r>
      <w:r w:rsidDel="00000000" w:rsidR="00000000" w:rsidRPr="00000000">
        <w:rPr>
          <w:rFonts w:ascii="Arial" w:cs="Arial" w:eastAsia="Arial" w:hAnsi="Arial"/>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9">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Foreign currency conversion</w:t>
      </w:r>
      <w:r w:rsidDel="00000000" w:rsidR="00000000" w:rsidRPr="00000000">
        <w:rPr>
          <w:rFonts w:ascii="Arial" w:cs="Arial" w:eastAsia="Arial" w:hAnsi="Arial"/>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A">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Treatment of non-underlying items</w:t>
      </w:r>
      <w:r w:rsidDel="00000000" w:rsidR="00000000" w:rsidRPr="00000000">
        <w:rPr>
          <w:rFonts w:ascii="Arial" w:cs="Arial" w:eastAsia="Arial" w:hAnsi="Arial"/>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DB">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Specific Methodology</w:t>
      </w:r>
    </w:p>
    <w:tbl>
      <w:tblPr>
        <w:tblStyle w:val="Table5"/>
        <w:tblW w:w="9075.0" w:type="dxa"/>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15"/>
        <w:gridCol w:w="6360"/>
        <w:tblGridChange w:id="0">
          <w:tblGrid>
            <w:gridCol w:w="2715"/>
            <w:gridCol w:w="6360"/>
          </w:tblGrid>
        </w:tblGridChange>
      </w:tblGrid>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DC">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D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Specific Methodology</w:t>
            </w:r>
          </w:p>
        </w:tc>
      </w:tr>
      <w:tr>
        <w:trPr>
          <w:cantSplit w:val="0"/>
          <w:trHeight w:val="33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E">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DF">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E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E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has an operating loss (i.e. where the operating profit is negative), Operating Profit should be taken to be zero.]</w:t>
            </w:r>
          </w:p>
        </w:tc>
      </w:tr>
      <w:tr>
        <w:trPr>
          <w:cantSplit w:val="0"/>
          <w:trHeight w:val="251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3">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E4">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[Free Cash Flow to Net Debt Ratio]</w:t>
            </w:r>
          </w:p>
          <w:p w:rsidR="00000000" w:rsidDel="00000000" w:rsidP="00000000" w:rsidRDefault="00000000" w:rsidRPr="00000000" w14:paraId="000000E5">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4">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5">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0">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101">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2">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Free Cash Flow</w:t>
            </w:r>
            <w:r w:rsidDel="00000000" w:rsidR="00000000" w:rsidRPr="00000000">
              <w:rPr>
                <w:rFonts w:ascii="Arial" w:cs="Arial" w:eastAsia="Arial" w:hAnsi="Arial"/>
                <w:i w:val="1"/>
                <w:sz w:val="24"/>
                <w:szCs w:val="24"/>
                <w:rtl w:val="0"/>
              </w:rPr>
              <w:t xml:space="preserve">” = Net Cash Flow from Operating Activities – Capital Expenditure</w:t>
            </w:r>
          </w:p>
          <w:p w:rsidR="00000000" w:rsidDel="00000000" w:rsidP="00000000" w:rsidRDefault="00000000" w:rsidRPr="00000000" w14:paraId="00000103">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Capital Expenditure</w:t>
            </w:r>
            <w:r w:rsidDel="00000000" w:rsidR="00000000" w:rsidRPr="00000000">
              <w:rPr>
                <w:rFonts w:ascii="Arial" w:cs="Arial" w:eastAsia="Arial" w:hAnsi="Arial"/>
                <w:i w:val="1"/>
                <w:sz w:val="24"/>
                <w:szCs w:val="24"/>
                <w:rtl w:val="0"/>
              </w:rPr>
              <w:t xml:space="preserve">” = Purchase of property, plant &amp; equipment + purchase of intangible assets</w:t>
            </w:r>
          </w:p>
          <w:p w:rsidR="00000000" w:rsidDel="00000000" w:rsidP="00000000" w:rsidRDefault="00000000" w:rsidRPr="00000000" w14:paraId="00000104">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5">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06">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Cash Flow from Operating Activities</w:t>
            </w:r>
            <w:r w:rsidDel="00000000" w:rsidR="00000000" w:rsidRPr="00000000">
              <w:rPr>
                <w:rFonts w:ascii="Arial" w:cs="Arial" w:eastAsia="Arial" w:hAnsi="Arial"/>
                <w:sz w:val="24"/>
                <w:szCs w:val="24"/>
                <w:rtl w:val="0"/>
              </w:rPr>
              <w:t xml:space="preserve">: This should be stated after deduction of interest and tax paid.</w:t>
            </w:r>
          </w:p>
          <w:p w:rsidR="00000000" w:rsidDel="00000000" w:rsidP="00000000" w:rsidRDefault="00000000" w:rsidRPr="00000000" w14:paraId="00000107">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Capital expenditure</w:t>
            </w:r>
            <w:r w:rsidDel="00000000" w:rsidR="00000000" w:rsidRPr="00000000">
              <w:rPr>
                <w:rFonts w:ascii="Arial" w:cs="Arial" w:eastAsia="Arial" w:hAnsi="Arial"/>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08">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0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0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0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0D">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E">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10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0">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1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1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1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14">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rHeight w:val="156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116">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18">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Pension Deficit</w:t>
            </w:r>
            <w:r w:rsidDel="00000000" w:rsidR="00000000" w:rsidRPr="00000000">
              <w:rPr>
                <w:rFonts w:ascii="Arial" w:cs="Arial" w:eastAsia="Arial" w:hAnsi="Arial"/>
                <w:i w:val="1"/>
                <w:sz w:val="24"/>
                <w:szCs w:val="24"/>
                <w:rtl w:val="0"/>
              </w:rPr>
              <w:t xml:space="preserve">” = Retirement Benefit Obligations – Retirement Benefit Assets</w:t>
            </w:r>
          </w:p>
          <w:p w:rsidR="00000000" w:rsidDel="00000000" w:rsidP="00000000" w:rsidRDefault="00000000" w:rsidRPr="00000000" w14:paraId="00000119">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11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B">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sz w:val="24"/>
                <w:szCs w:val="24"/>
                <w:rtl w:val="0"/>
              </w:rPr>
              <w:t xml:space="preserve">not</w:t>
            </w:r>
            <w:r w:rsidDel="00000000" w:rsidR="00000000" w:rsidRPr="00000000">
              <w:rPr>
                <w:rFonts w:ascii="Arial" w:cs="Arial" w:eastAsia="Arial" w:hAnsi="Arial"/>
                <w:sz w:val="24"/>
                <w:szCs w:val="24"/>
                <w:rtl w:val="0"/>
              </w:rPr>
              <w:t xml:space="preserve"> non-designated hedges). Borrowings should also include balances owed to other group members.</w:t>
            </w:r>
          </w:p>
          <w:p w:rsidR="00000000" w:rsidDel="00000000" w:rsidP="00000000" w:rsidRDefault="00000000" w:rsidRPr="00000000" w14:paraId="0000011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1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1E">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Pension Deficit</w:t>
            </w:r>
            <w:r w:rsidDel="00000000" w:rsidR="00000000" w:rsidRPr="00000000">
              <w:rPr>
                <w:rFonts w:ascii="Arial" w:cs="Arial" w:eastAsia="Arial" w:hAnsi="Arial"/>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w:t>
            </w:r>
          </w:p>
          <w:p w:rsidR="00000000" w:rsidDel="00000000" w:rsidP="00000000" w:rsidRDefault="00000000" w:rsidRPr="00000000" w14:paraId="0000011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20">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2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depreciation and amortisation charges for the period may be found on the face of the Statement of Cash Flows or in a Note to the Accounts.</w:t>
            </w:r>
          </w:p>
          <w:p w:rsidR="00000000" w:rsidDel="00000000" w:rsidP="00000000" w:rsidRDefault="00000000" w:rsidRPr="00000000" w14:paraId="0000012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rHeight w:val="45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124">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Earnings Before Interest and Tax</w:t>
            </w:r>
            <w:r w:rsidDel="00000000" w:rsidR="00000000" w:rsidRPr="00000000">
              <w:rPr>
                <w:rFonts w:ascii="Arial" w:cs="Arial" w:eastAsia="Arial" w:hAnsi="Arial"/>
                <w:i w:val="1"/>
                <w:sz w:val="24"/>
                <w:szCs w:val="24"/>
                <w:rtl w:val="0"/>
              </w:rPr>
              <w:t xml:space="preserve">” = Operating profit</w:t>
            </w:r>
          </w:p>
          <w:p w:rsidR="00000000" w:rsidDel="00000000" w:rsidP="00000000" w:rsidRDefault="00000000" w:rsidRPr="00000000" w14:paraId="00000126">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Interest Paid</w:t>
            </w:r>
            <w:r w:rsidDel="00000000" w:rsidR="00000000" w:rsidRPr="00000000">
              <w:rPr>
                <w:rFonts w:ascii="Arial" w:cs="Arial" w:eastAsia="Arial" w:hAnsi="Arial"/>
                <w:i w:val="1"/>
                <w:sz w:val="24"/>
                <w:szCs w:val="24"/>
                <w:rtl w:val="0"/>
              </w:rPr>
              <w:t xml:space="preserve">” = Interest paid – Interest received</w:t>
            </w:r>
          </w:p>
          <w:p w:rsidR="00000000" w:rsidDel="00000000" w:rsidP="00000000" w:rsidRDefault="00000000" w:rsidRPr="00000000" w14:paraId="0000012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2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Interest received and interest paid should be shown on the face of the Cash Flow statement.</w:t>
            </w:r>
          </w:p>
          <w:p w:rsidR="00000000" w:rsidDel="00000000" w:rsidP="00000000" w:rsidRDefault="00000000" w:rsidRPr="00000000" w14:paraId="0000012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interest paid is negative (i.e. the entity has net interest received), the relevant Financial Target Threshold should be treated as having been met.]</w:t>
            </w:r>
          </w:p>
        </w:tc>
      </w:tr>
      <w:tr>
        <w:trPr>
          <w:cantSplit w:val="0"/>
          <w:trHeight w:val="13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A">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12B">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elements that are used to calculate the Acid Ratio are available on the face of the Balance Sheet in a standard set of financial statements.]</w:t>
            </w:r>
          </w:p>
        </w:tc>
      </w:tr>
      <w:tr>
        <w:trPr>
          <w:cantSplit w:val="0"/>
          <w:trHeight w:val="3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12E">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rHeight w:val="88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0">
            <w:pPr>
              <w:spacing w:after="200" w:before="100" w:lineRule="auto"/>
              <w:rPr>
                <w:rFonts w:ascii="Arial" w:cs="Arial" w:eastAsia="Arial" w:hAnsi="Arial"/>
                <w:b w:val="1"/>
                <w:sz w:val="24"/>
                <w:szCs w:val="24"/>
              </w:rPr>
            </w:pPr>
            <w:bookmarkStart w:colFirst="0" w:colLast="0" w:name="_heading=h.gjdgxs" w:id="29"/>
            <w:bookmarkEnd w:id="29"/>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131">
            <w:pPr>
              <w:spacing w:after="200" w:before="10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[Group Exposure Ratio]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2">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Group Exposure</w:t>
            </w:r>
            <w:r w:rsidDel="00000000" w:rsidR="00000000" w:rsidRPr="00000000">
              <w:rPr>
                <w:rFonts w:ascii="Arial" w:cs="Arial" w:eastAsia="Arial" w:hAnsi="Arial"/>
                <w:i w:val="1"/>
                <w:sz w:val="24"/>
                <w:szCs w:val="24"/>
                <w:rtl w:val="0"/>
              </w:rPr>
              <w:t xml:space="preserve">” = Balances owed by Group Undertakings + Contingent liabilities assumed in support of Group Undertakings</w:t>
            </w:r>
          </w:p>
          <w:p w:rsidR="00000000" w:rsidDel="00000000" w:rsidP="00000000" w:rsidRDefault="00000000" w:rsidRPr="00000000" w14:paraId="00000133">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Gross Assets</w:t>
            </w:r>
            <w:r w:rsidDel="00000000" w:rsidR="00000000" w:rsidRPr="00000000">
              <w:rPr>
                <w:rFonts w:ascii="Arial" w:cs="Arial" w:eastAsia="Arial" w:hAnsi="Arial"/>
                <w:i w:val="1"/>
                <w:sz w:val="24"/>
                <w:szCs w:val="24"/>
                <w:rtl w:val="0"/>
              </w:rPr>
              <w:t xml:space="preserve">” = Fixed Assets + Current Assets</w:t>
            </w:r>
          </w:p>
          <w:p w:rsidR="00000000" w:rsidDel="00000000" w:rsidP="00000000" w:rsidRDefault="00000000" w:rsidRPr="00000000" w14:paraId="00000134">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Group Exposure</w:t>
            </w:r>
            <w:r w:rsidDel="00000000" w:rsidR="00000000" w:rsidRPr="00000000">
              <w:rPr>
                <w:rFonts w:ascii="Arial" w:cs="Arial" w:eastAsia="Arial" w:hAnsi="Arial"/>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35">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3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37">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Gross Assets</w:t>
            </w:r>
            <w:r w:rsidDel="00000000" w:rsidR="00000000" w:rsidRPr="00000000">
              <w:rPr>
                <w:rFonts w:ascii="Arial" w:cs="Arial" w:eastAsia="Arial" w:hAnsi="Arial"/>
                <w:sz w:val="24"/>
                <w:szCs w:val="24"/>
                <w:rtl w:val="0"/>
              </w:rPr>
              <w:t xml:space="preserve">: Both Fixed assets and Current assets are shown on the face of the Balance Sheet]</w:t>
            </w:r>
          </w:p>
        </w:tc>
      </w:tr>
    </w:tbl>
    <w:p w:rsidR="00000000" w:rsidDel="00000000" w:rsidP="00000000" w:rsidRDefault="00000000" w:rsidRPr="00000000" w14:paraId="00000138">
      <w:pPr>
        <w:spacing w:after="200" w:before="100" w:lineRule="auto"/>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39">
      <w:pPr>
        <w:spacing w:after="0" w:line="276" w:lineRule="auto"/>
        <w:rPr>
          <w:color w:val="008080"/>
          <w:u w:val="single"/>
        </w:rPr>
      </w:pPr>
      <w:r w:rsidDel="00000000" w:rsidR="00000000" w:rsidRPr="00000000">
        <w:rPr>
          <w:rtl w:val="0"/>
        </w:rPr>
      </w:r>
    </w:p>
    <w:p w:rsidR="00000000" w:rsidDel="00000000" w:rsidP="00000000" w:rsidRDefault="00000000" w:rsidRPr="00000000" w14:paraId="0000013A">
      <w:pPr>
        <w:spacing w:after="0" w:line="276" w:lineRule="auto"/>
        <w:rPr>
          <w:color w:val="008080"/>
          <w:u w:val="single"/>
        </w:rPr>
      </w:pPr>
      <w:r w:rsidDel="00000000" w:rsidR="00000000" w:rsidRPr="00000000">
        <w:rPr>
          <w:rtl w:val="0"/>
        </w:rPr>
      </w:r>
    </w:p>
    <w:p w:rsidR="00000000" w:rsidDel="00000000" w:rsidP="00000000" w:rsidRDefault="00000000" w:rsidRPr="00000000" w14:paraId="0000013B">
      <w:pPr>
        <w:spacing w:after="0" w:line="276" w:lineRule="auto"/>
        <w:rPr>
          <w:color w:val="008080"/>
          <w:u w:val="single"/>
        </w:rPr>
      </w:pPr>
      <w:r w:rsidDel="00000000" w:rsidR="00000000" w:rsidRPr="00000000">
        <w:rPr>
          <w:rtl w:val="0"/>
        </w:rPr>
      </w:r>
    </w:p>
    <w:p w:rsidR="00000000" w:rsidDel="00000000" w:rsidP="00000000" w:rsidRDefault="00000000" w:rsidRPr="00000000" w14:paraId="0000013C">
      <w:pPr>
        <w:spacing w:after="0" w:line="276" w:lineRule="auto"/>
        <w:rPr>
          <w:color w:val="008080"/>
          <w:u w:val="single"/>
        </w:rPr>
      </w:pPr>
      <w:r w:rsidDel="00000000" w:rsidR="00000000" w:rsidRPr="00000000">
        <w:rPr>
          <w:rtl w:val="0"/>
        </w:rPr>
      </w:r>
    </w:p>
    <w:p w:rsidR="00000000" w:rsidDel="00000000" w:rsidP="00000000" w:rsidRDefault="00000000" w:rsidRPr="00000000" w14:paraId="0000013D">
      <w:pPr>
        <w:spacing w:after="0" w:line="276" w:lineRule="auto"/>
        <w:rPr>
          <w:color w:val="008080"/>
          <w:u w:val="single"/>
        </w:rPr>
      </w:pPr>
      <w:r w:rsidDel="00000000" w:rsidR="00000000" w:rsidRPr="00000000">
        <w:rPr>
          <w:rtl w:val="0"/>
        </w:rPr>
      </w:r>
    </w:p>
    <w:p w:rsidR="00000000" w:rsidDel="00000000" w:rsidP="00000000" w:rsidRDefault="00000000" w:rsidRPr="00000000" w14:paraId="0000013E">
      <w:pPr>
        <w:spacing w:after="0" w:line="276" w:lineRule="auto"/>
        <w:rPr>
          <w:color w:val="008080"/>
          <w:u w:val="single"/>
        </w:rPr>
      </w:pPr>
      <w:r w:rsidDel="00000000" w:rsidR="00000000" w:rsidRPr="00000000">
        <w:rPr>
          <w:rtl w:val="0"/>
        </w:rPr>
      </w:r>
    </w:p>
    <w:p w:rsidR="00000000" w:rsidDel="00000000" w:rsidP="00000000" w:rsidRDefault="00000000" w:rsidRPr="00000000" w14:paraId="0000013F">
      <w:pPr>
        <w:spacing w:after="0" w:line="276" w:lineRule="auto"/>
        <w:rPr>
          <w:color w:val="008080"/>
          <w:u w:val="single"/>
        </w:rPr>
      </w:pPr>
      <w:r w:rsidDel="00000000" w:rsidR="00000000" w:rsidRPr="00000000">
        <w:rPr>
          <w:rtl w:val="0"/>
        </w:rPr>
      </w:r>
    </w:p>
    <w:p w:rsidR="00000000" w:rsidDel="00000000" w:rsidP="00000000" w:rsidRDefault="00000000" w:rsidRPr="00000000" w14:paraId="00000140">
      <w:pPr>
        <w:spacing w:after="0" w:line="276" w:lineRule="auto"/>
        <w:rPr>
          <w:color w:val="008080"/>
          <w:u w:val="single"/>
        </w:rPr>
      </w:pPr>
      <w:r w:rsidDel="00000000" w:rsidR="00000000" w:rsidRPr="00000000">
        <w:rPr>
          <w:rtl w:val="0"/>
        </w:rPr>
      </w:r>
    </w:p>
    <w:p w:rsidR="00000000" w:rsidDel="00000000" w:rsidP="00000000" w:rsidRDefault="00000000" w:rsidRPr="00000000" w14:paraId="00000141">
      <w:pPr>
        <w:spacing w:after="0" w:line="276" w:lineRule="auto"/>
        <w:rPr>
          <w:color w:val="008080"/>
          <w:u w:val="single"/>
        </w:rPr>
      </w:pPr>
      <w:r w:rsidDel="00000000" w:rsidR="00000000" w:rsidRPr="00000000">
        <w:rPr>
          <w:rtl w:val="0"/>
        </w:rPr>
      </w:r>
    </w:p>
    <w:p w:rsidR="00000000" w:rsidDel="00000000" w:rsidP="00000000" w:rsidRDefault="00000000" w:rsidRPr="00000000" w14:paraId="00000142">
      <w:pPr>
        <w:spacing w:after="0" w:line="276" w:lineRule="auto"/>
        <w:rPr>
          <w:color w:val="008080"/>
          <w:u w:val="single"/>
        </w:rPr>
      </w:pPr>
      <w:r w:rsidDel="00000000" w:rsidR="00000000" w:rsidRPr="00000000">
        <w:rPr>
          <w:rtl w:val="0"/>
        </w:rPr>
      </w:r>
    </w:p>
    <w:p w:rsidR="00000000" w:rsidDel="00000000" w:rsidP="00000000" w:rsidRDefault="00000000" w:rsidRPr="00000000" w14:paraId="00000143">
      <w:pPr>
        <w:spacing w:after="0" w:line="276" w:lineRule="auto"/>
        <w:rPr>
          <w:color w:val="008080"/>
          <w:u w:val="single"/>
        </w:rPr>
      </w:pPr>
      <w:r w:rsidDel="00000000" w:rsidR="00000000" w:rsidRPr="00000000">
        <w:rPr>
          <w:rtl w:val="0"/>
        </w:rPr>
      </w:r>
    </w:p>
    <w:p w:rsidR="00000000" w:rsidDel="00000000" w:rsidP="00000000" w:rsidRDefault="00000000" w:rsidRPr="00000000" w14:paraId="00000144">
      <w:pPr>
        <w:spacing w:after="0" w:line="276" w:lineRule="auto"/>
        <w:rPr>
          <w:color w:val="008080"/>
          <w:u w:val="single"/>
        </w:rPr>
      </w:pPr>
      <w:r w:rsidDel="00000000" w:rsidR="00000000" w:rsidRPr="00000000">
        <w:rPr>
          <w:rtl w:val="0"/>
        </w:rPr>
      </w:r>
    </w:p>
    <w:p w:rsidR="00000000" w:rsidDel="00000000" w:rsidP="00000000" w:rsidRDefault="00000000" w:rsidRPr="00000000" w14:paraId="00000145">
      <w:pPr>
        <w:spacing w:after="200" w:line="276" w:lineRule="auto"/>
        <w:jc w:val="left"/>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46">
      <w:pPr>
        <w:spacing w:after="300" w:before="100" w:lineRule="auto"/>
        <w:jc w:val="left"/>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ANNEX 4: BOARD CONFIRMATION</w:t>
      </w:r>
    </w:p>
    <w:p w:rsidR="00000000" w:rsidDel="00000000" w:rsidP="00000000" w:rsidRDefault="00000000" w:rsidRPr="00000000" w14:paraId="00000147">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48">
      <w:pPr>
        <w:spacing w:after="200" w:before="10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Supplier Name:</w:t>
      </w:r>
    </w:p>
    <w:p w:rsidR="00000000" w:rsidDel="00000000" w:rsidP="00000000" w:rsidRDefault="00000000" w:rsidRPr="00000000" w14:paraId="00000149">
      <w:pPr>
        <w:spacing w:after="200" w:before="10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Contract Reference Number:</w:t>
      </w:r>
    </w:p>
    <w:p w:rsidR="00000000" w:rsidDel="00000000" w:rsidP="00000000" w:rsidRDefault="00000000" w:rsidRPr="00000000" w14:paraId="0000014A">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4B">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sz w:val="24"/>
          <w:szCs w:val="24"/>
          <w:rtl w:val="0"/>
        </w:rPr>
        <w:t xml:space="preserve">Financial Distress</w:t>
      </w:r>
      <w:r w:rsidDel="00000000" w:rsidR="00000000" w:rsidRPr="00000000">
        <w:rPr>
          <w:rFonts w:ascii="Arial" w:cs="Arial" w:eastAsia="Arial" w:hAnsi="Arial"/>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4C">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4D">
      <w:pPr>
        <w:spacing w:after="200" w:before="10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4E">
      <w:pPr>
        <w:spacing w:after="200" w:before="10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14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0">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 behalf of the Board of Directors:</w:t>
      </w:r>
    </w:p>
    <w:p w:rsidR="00000000" w:rsidDel="00000000" w:rsidP="00000000" w:rsidRDefault="00000000" w:rsidRPr="00000000" w14:paraId="00000151">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2">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Chair                </w:t>
        <w:tab/>
        <w:t xml:space="preserve">…………………………………</w:t>
      </w:r>
    </w:p>
    <w:p w:rsidR="00000000" w:rsidDel="00000000" w:rsidP="00000000" w:rsidRDefault="00000000" w:rsidRPr="00000000" w14:paraId="00000153">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Signed             </w:t>
        <w:tab/>
        <w:t xml:space="preserve">…………………………………</w:t>
      </w:r>
    </w:p>
    <w:p w:rsidR="00000000" w:rsidDel="00000000" w:rsidP="00000000" w:rsidRDefault="00000000" w:rsidRPr="00000000" w14:paraId="00000154">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Date                 </w:t>
        <w:tab/>
        <w:t xml:space="preserve">…………………………………</w:t>
      </w:r>
    </w:p>
    <w:p w:rsidR="00000000" w:rsidDel="00000000" w:rsidP="00000000" w:rsidRDefault="00000000" w:rsidRPr="00000000" w14:paraId="00000155">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6">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Director            </w:t>
        <w:tab/>
        <w:t xml:space="preserve">…………………………………</w:t>
      </w:r>
    </w:p>
    <w:p w:rsidR="00000000" w:rsidDel="00000000" w:rsidP="00000000" w:rsidRDefault="00000000" w:rsidRPr="00000000" w14:paraId="00000157">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Signed             </w:t>
        <w:tab/>
        <w:t xml:space="preserve">…………………………………</w:t>
      </w:r>
    </w:p>
    <w:p w:rsidR="00000000" w:rsidDel="00000000" w:rsidP="00000000" w:rsidRDefault="00000000" w:rsidRPr="00000000" w14:paraId="00000158">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Date                 </w:t>
        <w:tab/>
        <w:t xml:space="preserve">…………………………………</w:t>
      </w:r>
    </w:p>
    <w:p w:rsidR="00000000" w:rsidDel="00000000" w:rsidP="00000000" w:rsidRDefault="00000000" w:rsidRPr="00000000" w14:paraId="00000159">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A">
      <w:pPr>
        <w:spacing w:after="0" w:line="276"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15B">
      <w:pPr>
        <w:spacing w:after="200" w:line="276" w:lineRule="auto"/>
        <w:jc w:val="left"/>
        <w:rPr>
          <w:rFonts w:ascii="Arial" w:cs="Arial" w:eastAsia="Arial" w:hAnsi="Arial"/>
          <w:sz w:val="36"/>
          <w:szCs w:val="36"/>
          <w:u w:val="single"/>
        </w:rPr>
      </w:pPr>
      <w:r w:rsidDel="00000000" w:rsidR="00000000" w:rsidRPr="00000000">
        <w:rPr>
          <w:rFonts w:ascii="Arial" w:cs="Arial" w:eastAsia="Arial" w:hAnsi="Arial"/>
          <w:sz w:val="36"/>
          <w:szCs w:val="36"/>
          <w:u w:val="single"/>
          <w:rtl w:val="0"/>
        </w:rPr>
        <w:t xml:space="preserve"> </w:t>
      </w:r>
    </w:p>
    <w:p w:rsidR="00000000" w:rsidDel="00000000" w:rsidP="00000000" w:rsidRDefault="00000000" w:rsidRPr="00000000" w14:paraId="0000015C">
      <w:pPr>
        <w:spacing w:after="200" w:line="276" w:lineRule="auto"/>
        <w:jc w:val="left"/>
        <w:rPr>
          <w:rFonts w:ascii="Arial" w:cs="Arial" w:eastAsia="Arial" w:hAnsi="Arial"/>
          <w:sz w:val="36"/>
          <w:szCs w:val="36"/>
          <w:u w:val="single"/>
        </w:rPr>
      </w:pPr>
      <w:r w:rsidDel="00000000" w:rsidR="00000000" w:rsidRPr="00000000">
        <w:rPr>
          <w:rFonts w:ascii="Arial" w:cs="Arial" w:eastAsia="Arial" w:hAnsi="Arial"/>
          <w:sz w:val="36"/>
          <w:szCs w:val="36"/>
          <w:u w:val="single"/>
          <w:rtl w:val="0"/>
        </w:rPr>
        <w:t xml:space="preserve"> </w:t>
      </w:r>
    </w:p>
    <w:p w:rsidR="00000000" w:rsidDel="00000000" w:rsidP="00000000" w:rsidRDefault="00000000" w:rsidRPr="00000000" w14:paraId="0000015D">
      <w:pPr>
        <w:spacing w:after="200" w:line="276" w:lineRule="auto"/>
        <w:jc w:val="left"/>
        <w:rPr>
          <w:rFonts w:ascii="Arial" w:cs="Arial" w:eastAsia="Arial" w:hAnsi="Arial"/>
          <w:b w:val="1"/>
          <w:sz w:val="36"/>
          <w:szCs w:val="36"/>
          <w:u w:val="single"/>
        </w:rPr>
      </w:pPr>
      <w:r w:rsidDel="00000000" w:rsidR="00000000" w:rsidRPr="00000000">
        <w:rPr>
          <w:rFonts w:ascii="Arial" w:cs="Arial" w:eastAsia="Arial" w:hAnsi="Arial"/>
          <w:b w:val="1"/>
          <w:sz w:val="36"/>
          <w:szCs w:val="36"/>
          <w:u w:val="single"/>
          <w:rtl w:val="0"/>
        </w:rPr>
        <w:t xml:space="preserve">ANNEX 5: OPTIONAL CLAUSES FOR BRONZE CONTRACTS</w:t>
      </w:r>
    </w:p>
    <w:p w:rsidR="00000000" w:rsidDel="00000000" w:rsidP="00000000" w:rsidRDefault="00000000" w:rsidRPr="00000000" w14:paraId="0000015E">
      <w:pPr>
        <w:spacing w:before="120" w:lineRule="auto"/>
        <w:ind w:left="720" w:hanging="360"/>
        <w:jc w:val="left"/>
        <w:rPr>
          <w:b w:val="1"/>
          <w:sz w:val="24"/>
          <w:szCs w:val="24"/>
          <w:u w:val="single"/>
        </w:rPr>
      </w:pPr>
      <w:r w:rsidDel="00000000" w:rsidR="00000000" w:rsidRPr="00000000">
        <w:rPr>
          <w:rFonts w:ascii="Arial" w:cs="Arial" w:eastAsia="Arial" w:hAnsi="Arial"/>
          <w:b w:val="1"/>
          <w:sz w:val="24"/>
          <w:szCs w:val="24"/>
          <w:rtl w:val="0"/>
        </w:rPr>
        <w:t xml:space="preserve">1.</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15F">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this Annex 5, the following words shall have the following meanings and they shall supplement Joint Schedule 1 (Definitions):</w:t>
      </w:r>
    </w:p>
    <w:tbl>
      <w:tblPr>
        <w:tblStyle w:val="Table6"/>
        <w:tblW w:w="79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30"/>
        <w:gridCol w:w="5360"/>
        <w:tblGridChange w:id="0">
          <w:tblGrid>
            <w:gridCol w:w="2630"/>
            <w:gridCol w:w="5360"/>
          </w:tblGrid>
        </w:tblGridChange>
      </w:tblGrid>
      <w:tr>
        <w:trPr>
          <w:cantSplit w:val="0"/>
          <w:trHeight w:val="11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0">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1">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minimum credit rating level for the Monitored Company as set out in Appendix 2;</w:t>
            </w:r>
          </w:p>
        </w:tc>
      </w:tr>
      <w:tr>
        <w:trPr>
          <w:cantSplit w:val="0"/>
          <w:trHeight w:val="11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2">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3">
            <w:pPr>
              <w:spacing w:after="1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occurrence or one or more of the following events:</w:t>
            </w:r>
          </w:p>
          <w:p w:rsidR="00000000" w:rsidDel="00000000" w:rsidP="00000000" w:rsidRDefault="00000000" w:rsidRPr="00000000" w14:paraId="00000164">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165">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66">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w:t>
            </w:r>
          </w:p>
          <w:p w:rsidR="00000000" w:rsidDel="00000000" w:rsidP="00000000" w:rsidRDefault="00000000" w:rsidRPr="00000000" w14:paraId="00000167">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Monitored Company committing a material breach of covenant to its lenders;</w:t>
            </w:r>
          </w:p>
          <w:p w:rsidR="00000000" w:rsidDel="00000000" w:rsidP="00000000" w:rsidRDefault="00000000" w:rsidRPr="00000000" w14:paraId="00000168">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69">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16A">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w:t>
            </w:r>
          </w:p>
          <w:p w:rsidR="00000000" w:rsidDel="00000000" w:rsidP="00000000" w:rsidRDefault="00000000" w:rsidRPr="00000000" w14:paraId="0000016B">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ii)</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16C">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iii)</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16D">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iv)</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16E">
            <w:pPr>
              <w:spacing w:after="120" w:lineRule="auto"/>
              <w:ind w:left="1320" w:hanging="160"/>
              <w:jc w:val="left"/>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r w:rsidDel="00000000" w:rsidR="00000000" w:rsidRPr="00000000">
              <w:rPr>
                <w:rtl w:val="0"/>
              </w:rPr>
            </w:r>
          </w:p>
        </w:tc>
      </w:tr>
      <w:tr>
        <w:trPr>
          <w:cantSplit w:val="0"/>
          <w:trHeight w:val="16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F">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Service Continuity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0">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rHeight w:val="8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1">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Company”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2">
            <w:pPr>
              <w:spacing w:after="120" w:lineRule="auto"/>
              <w:ind w:left="1320" w:hanging="160"/>
              <w:jc w:val="left"/>
              <w:rPr>
                <w:rFonts w:ascii="Arial" w:cs="Arial" w:eastAsia="Arial" w:hAnsi="Arial"/>
                <w:sz w:val="24"/>
                <w:szCs w:val="24"/>
                <w:highlight w:val="white"/>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Supplie</w:t>
            </w:r>
            <w:r w:rsidDel="00000000" w:rsidR="00000000" w:rsidRPr="00000000">
              <w:rPr>
                <w:rFonts w:ascii="Arial" w:cs="Arial" w:eastAsia="Arial" w:hAnsi="Arial"/>
                <w:sz w:val="24"/>
                <w:szCs w:val="24"/>
                <w:highlight w:val="white"/>
                <w:rtl w:val="0"/>
              </w:rPr>
              <w:t xml:space="preserve">r [the Guarantor] or any Key Subcontractor]</w:t>
            </w:r>
          </w:p>
        </w:tc>
      </w:tr>
      <w:tr>
        <w:trPr>
          <w:cantSplit w:val="0"/>
          <w:trHeight w:val="5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3">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4">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rating agencies listed in Appendix 1.</w:t>
            </w:r>
          </w:p>
        </w:tc>
      </w:tr>
    </w:tbl>
    <w:p w:rsidR="00000000" w:rsidDel="00000000" w:rsidP="00000000" w:rsidRDefault="00000000" w:rsidRPr="00000000" w14:paraId="00000175">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2.</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When this Schedule applies</w:t>
      </w:r>
      <w:r w:rsidDel="00000000" w:rsidR="00000000" w:rsidRPr="00000000">
        <w:rPr>
          <w:rtl w:val="0"/>
        </w:rPr>
      </w:r>
    </w:p>
    <w:p w:rsidR="00000000" w:rsidDel="00000000" w:rsidP="00000000" w:rsidRDefault="00000000" w:rsidRPr="00000000" w14:paraId="00000176">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77">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    The terms of this Annex 5 shall survive: </w:t>
      </w:r>
    </w:p>
    <w:p w:rsidR="00000000" w:rsidDel="00000000" w:rsidP="00000000" w:rsidRDefault="00000000" w:rsidRPr="00000000" w14:paraId="00000178">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79">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under the Call-Off Contract until the termination or expiry of the Call-Off Contract.</w:t>
      </w:r>
    </w:p>
    <w:p w:rsidR="00000000" w:rsidDel="00000000" w:rsidP="00000000" w:rsidRDefault="00000000" w:rsidRPr="00000000" w14:paraId="0000017A">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mallCaps w:val="1"/>
          <w:sz w:val="24"/>
          <w:szCs w:val="24"/>
          <w:rtl w:val="0"/>
        </w:rPr>
        <w:t xml:space="preserve">W</w:t>
      </w:r>
      <w:r w:rsidDel="00000000" w:rsidR="00000000" w:rsidRPr="00000000">
        <w:rPr>
          <w:rFonts w:ascii="Arial" w:cs="Arial" w:eastAsia="Arial" w:hAnsi="Arial"/>
          <w:b w:val="1"/>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7B">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Appendix 2.</w:t>
      </w:r>
    </w:p>
    <w:p w:rsidR="00000000" w:rsidDel="00000000" w:rsidP="00000000" w:rsidRDefault="00000000" w:rsidRPr="00000000" w14:paraId="0000017C">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7D">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7E">
      <w:pPr>
        <w:spacing w:after="120" w:before="120" w:lineRule="auto"/>
        <w:ind w:left="1000" w:hanging="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F">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1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1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80">
      <w:pPr>
        <w:spacing w:after="2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7"/>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6690"/>
        <w:tblGridChange w:id="0">
          <w:tblGrid>
            <w:gridCol w:w="2130"/>
            <w:gridCol w:w="6690"/>
          </w:tblGrid>
        </w:tblGridChange>
      </w:tblGrid>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1">
            <w:pPr>
              <w:spacing w:after="220" w:lineRule="auto"/>
              <w:ind w:left="130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2">
            <w:pPr>
              <w:spacing w:after="2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p>
        </w:tc>
      </w:tr>
      <w:tr>
        <w:trPr>
          <w:cantSplit w:val="0"/>
          <w:trHeight w:val="15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3">
            <w:pPr>
              <w:spacing w:after="220" w:lineRule="auto"/>
              <w:ind w:left="1275" w:right="-20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4">
            <w:pPr>
              <w:spacing w:after="2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5">
            <w:pPr>
              <w:spacing w:after="220" w:lineRule="auto"/>
              <w:ind w:left="12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6">
            <w:pPr>
              <w:spacing w:after="2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and</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7">
            <w:pPr>
              <w:spacing w:after="220" w:lineRule="auto"/>
              <w:ind w:left="12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8">
            <w:pPr>
              <w:spacing w:after="2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tc>
      </w:tr>
    </w:tbl>
    <w:p w:rsidR="00000000" w:rsidDel="00000000" w:rsidP="00000000" w:rsidRDefault="00000000" w:rsidRPr="00000000" w14:paraId="00000189">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w:t>
      </w:r>
    </w:p>
    <w:p w:rsidR="00000000" w:rsidDel="00000000" w:rsidP="00000000" w:rsidRDefault="00000000" w:rsidRPr="00000000" w14:paraId="0000018A">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regularly monitor the credit ratings of each Monitored Company with the Rating Agencies; and</w:t>
      </w:r>
    </w:p>
    <w:p w:rsidR="00000000" w:rsidDel="00000000" w:rsidP="00000000" w:rsidRDefault="00000000" w:rsidRPr="00000000" w14:paraId="0000018B">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8C">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8D">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4.</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8E">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8F">
      <w:pPr>
        <w:spacing w:after="120" w:before="120" w:lineRule="auto"/>
        <w:ind w:left="94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0">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91">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rectify such late or non-payment; or</w:t>
      </w:r>
    </w:p>
    <w:p w:rsidR="00000000" w:rsidDel="00000000" w:rsidP="00000000" w:rsidRDefault="00000000" w:rsidRPr="00000000" w14:paraId="00000192">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93">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and shall procure that the other Monitored Companies shall:</w:t>
      </w:r>
    </w:p>
    <w:p w:rsidR="00000000" w:rsidDel="00000000" w:rsidP="00000000" w:rsidRDefault="00000000" w:rsidRPr="00000000" w14:paraId="00000194">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95">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w:t>
      </w:r>
    </w:p>
    <w:p w:rsidR="00000000" w:rsidDel="00000000" w:rsidP="00000000" w:rsidRDefault="00000000" w:rsidRPr="00000000" w14:paraId="00000196">
      <w:pPr>
        <w:spacing w:after="120" w:before="120" w:lineRule="auto"/>
        <w:ind w:left="356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97">
      <w:pPr>
        <w:spacing w:after="120" w:before="120" w:lineRule="auto"/>
        <w:ind w:left="356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98">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99">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rsidR="00000000" w:rsidDel="00000000" w:rsidP="00000000" w:rsidRDefault="00000000" w:rsidRPr="00000000" w14:paraId="0000019A">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9B">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9C">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rsidR="00000000" w:rsidDel="00000000" w:rsidP="00000000" w:rsidRDefault="00000000" w:rsidRPr="00000000" w14:paraId="0000019D">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9E">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w:t>
      </w:r>
    </w:p>
    <w:p w:rsidR="00000000" w:rsidDel="00000000" w:rsidP="00000000" w:rsidRDefault="00000000" w:rsidRPr="00000000" w14:paraId="0000019F">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A0">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5.</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A1">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CCS shall be entitled to terminate this Contract and Buyers shall be entitled to terminate their Call-Off Contracts for material Default if:</w:t>
      </w:r>
    </w:p>
    <w:p w:rsidR="00000000" w:rsidDel="00000000" w:rsidP="00000000" w:rsidRDefault="00000000" w:rsidRPr="00000000" w14:paraId="000001A2">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fails to notify the Relevant Authority of a Financial Distress Event in accordance with Paragraph 3.4;</w:t>
      </w:r>
    </w:p>
    <w:p w:rsidR="00000000" w:rsidDel="00000000" w:rsidP="00000000" w:rsidRDefault="00000000" w:rsidRPr="00000000" w14:paraId="000001A3">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A4">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A5">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A6">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6.</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A7">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A8">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shall be relieved automatically of its obligations under Paragraphs 4.3 to 4.6; and</w:t>
      </w:r>
    </w:p>
    <w:p w:rsidR="00000000" w:rsidDel="00000000" w:rsidP="00000000" w:rsidRDefault="00000000" w:rsidRPr="00000000" w14:paraId="000001A9">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1AA">
      <w:pPr>
        <w:rPr/>
      </w:pPr>
      <w:r w:rsidDel="00000000" w:rsidR="00000000" w:rsidRPr="00000000">
        <w:rPr>
          <w:rtl w:val="0"/>
        </w:rPr>
        <w:t xml:space="preserve"> </w:t>
      </w:r>
    </w:p>
    <w:p w:rsidR="00000000" w:rsidDel="00000000" w:rsidP="00000000" w:rsidRDefault="00000000" w:rsidRPr="00000000" w14:paraId="000001AB">
      <w:pPr>
        <w:spacing w:after="0" w:lineRule="auto"/>
        <w:rPr>
          <w:strike w:val="1"/>
        </w:rPr>
      </w:pPr>
      <w:r w:rsidDel="00000000" w:rsidR="00000000" w:rsidRPr="00000000">
        <w:rPr>
          <w:rtl w:val="0"/>
        </w:rPr>
      </w:r>
    </w:p>
    <w:p w:rsidR="00000000" w:rsidDel="00000000" w:rsidP="00000000" w:rsidRDefault="00000000" w:rsidRPr="00000000" w14:paraId="000001AC">
      <w:pPr>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AD">
      <w:pPr>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AE">
      <w:pPr>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AF">
      <w:pPr>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0">
      <w:pPr>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1">
      <w:pPr>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2">
      <w:pPr>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3">
      <w:pPr>
        <w:ind w:firstLine="42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1: RATING AGENCIES</w:t>
      </w:r>
    </w:p>
    <w:p w:rsidR="00000000" w:rsidDel="00000000" w:rsidP="00000000" w:rsidRDefault="00000000" w:rsidRPr="00000000" w14:paraId="000001B4">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w:t>
      </w:r>
    </w:p>
    <w:p w:rsidR="00000000" w:rsidDel="00000000" w:rsidP="00000000" w:rsidRDefault="00000000" w:rsidRPr="00000000" w14:paraId="000001B5">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2]</w:t>
      </w:r>
    </w:p>
    <w:p w:rsidR="00000000" w:rsidDel="00000000" w:rsidP="00000000" w:rsidRDefault="00000000" w:rsidRPr="00000000" w14:paraId="000001B6">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7">
      <w:pPr>
        <w:ind w:firstLine="42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2: CREDIT RATINGS &amp; CREDIT RATING THRESHOLDS</w:t>
      </w:r>
    </w:p>
    <w:p w:rsidR="00000000" w:rsidDel="00000000" w:rsidP="00000000" w:rsidRDefault="00000000" w:rsidRPr="00000000" w14:paraId="000001B8">
      <w:pPr>
        <w:ind w:firstLine="4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1: Current Rating</w:t>
      </w:r>
    </w:p>
    <w:tbl>
      <w:tblPr>
        <w:tblStyle w:val="Table8"/>
        <w:tblW w:w="69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15"/>
        <w:gridCol w:w="3345"/>
        <w:gridCol w:w="240"/>
        <w:tblGridChange w:id="0">
          <w:tblGrid>
            <w:gridCol w:w="3315"/>
            <w:gridCol w:w="3345"/>
            <w:gridCol w:w="240"/>
          </w:tblGrid>
        </w:tblGridChange>
      </w:tblGrid>
      <w:tr>
        <w:trPr>
          <w:cantSplit w:val="0"/>
          <w:trHeight w:val="84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B9">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BA">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       </w:t>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tcPr>
          <w:p w:rsidR="00000000" w:rsidDel="00000000" w:rsidP="00000000" w:rsidRDefault="00000000" w:rsidRPr="00000000" w14:paraId="000001BB">
            <w:pPr>
              <w:rPr/>
            </w:pPr>
            <w:r w:rsidDel="00000000" w:rsidR="00000000" w:rsidRPr="00000000">
              <w:rPr>
                <w:rtl w:val="0"/>
              </w:rPr>
              <w:t xml:space="preserve"> </w:t>
            </w:r>
          </w:p>
        </w:tc>
      </w:tr>
      <w:tr>
        <w:trPr>
          <w:cantSplit w:val="0"/>
          <w:trHeight w:val="84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BC">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BD">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[D&amp;B Threshold]  </w:t>
            </w: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tcPr>
          <w:p w:rsidR="00000000" w:rsidDel="00000000" w:rsidP="00000000" w:rsidRDefault="00000000" w:rsidRPr="00000000" w14:paraId="000001BE">
            <w:pPr>
              <w:rPr/>
            </w:pPr>
            <w:r w:rsidDel="00000000" w:rsidR="00000000" w:rsidRPr="00000000">
              <w:rPr>
                <w:rtl w:val="0"/>
              </w:rPr>
            </w:r>
          </w:p>
        </w:tc>
      </w:tr>
      <w:tr>
        <w:trPr>
          <w:cantSplit w:val="0"/>
          <w:trHeight w:val="84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BF">
            <w:pPr>
              <w:spacing w:after="120" w:before="240" w:lineRule="auto"/>
              <w:ind w:left="14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[Guarantor]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C0">
            <w:pPr>
              <w:spacing w:after="120" w:before="240" w:lineRule="auto"/>
              <w:ind w:left="140" w:firstLine="0"/>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tcPr>
          <w:p w:rsidR="00000000" w:rsidDel="00000000" w:rsidP="00000000" w:rsidRDefault="00000000" w:rsidRPr="00000000" w14:paraId="000001C1">
            <w:pPr>
              <w:rPr/>
            </w:pPr>
            <w:r w:rsidDel="00000000" w:rsidR="00000000" w:rsidRPr="00000000">
              <w:rPr>
                <w:rtl w:val="0"/>
              </w:rPr>
            </w:r>
          </w:p>
        </w:tc>
      </w:tr>
      <w:tr>
        <w:trPr>
          <w:cantSplit w:val="0"/>
          <w:trHeight w:val="84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C2">
            <w:pPr>
              <w:spacing w:after="120" w:before="240" w:lineRule="auto"/>
              <w:ind w:left="14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C3">
            <w:pPr>
              <w:spacing w:after="120" w:before="240" w:lineRule="auto"/>
              <w:ind w:left="140" w:firstLine="0"/>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tcPr>
          <w:p w:rsidR="00000000" w:rsidDel="00000000" w:rsidP="00000000" w:rsidRDefault="00000000" w:rsidRPr="00000000" w14:paraId="000001C4">
            <w:pPr>
              <w:rPr/>
            </w:pPr>
            <w:r w:rsidDel="00000000" w:rsidR="00000000" w:rsidRPr="00000000">
              <w:rPr>
                <w:rtl w:val="0"/>
              </w:rPr>
            </w:r>
          </w:p>
        </w:tc>
      </w:tr>
    </w:tbl>
    <w:p w:rsidR="00000000" w:rsidDel="00000000" w:rsidP="00000000" w:rsidRDefault="00000000" w:rsidRPr="00000000" w14:paraId="000001C5">
      <w:pPr>
        <w:spacing w:after="0" w:lineRule="auto"/>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C6">
      <w:pPr>
        <w:spacing w:after="0" w:lineRule="auto"/>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B">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E">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sz w:val="20"/>
      <w:szCs w:val="20"/>
    </w:rPr>
    <w:tblPr>
      <w:tblStyleRowBandSize w:val="1"/>
      <w:tblStyleColBandSize w:val="1"/>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pPr>
    <w:rPr>
      <w:sz w:val="20"/>
      <w:szCs w:val="20"/>
    </w:rPr>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D7tyRmJku4iLTWmNnbEItJLF1Q==">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